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s="Times New Roman"/>
          <w:b/>
          <w:bCs/>
          <w:color w:val="auto"/>
          <w:sz w:val="24"/>
          <w:szCs w:val="24"/>
          <w:lang w:val="en-US" w:eastAsia="zh-CN"/>
        </w:rPr>
      </w:pPr>
      <w:bookmarkStart w:id="5" w:name="_GoBack"/>
      <w:r>
        <w:rPr>
          <w:rFonts w:hint="eastAsia" w:ascii="宋体" w:hAnsi="宋体" w:cs="宋体"/>
          <w:b/>
          <w:bCs/>
          <w:color w:val="auto"/>
          <w:sz w:val="40"/>
          <w:szCs w:val="40"/>
          <w:lang w:eastAsia="zh-CN"/>
        </w:rPr>
        <w:t>古蔺县中医医院信息科2024年</w:t>
      </w:r>
      <w:r>
        <w:rPr>
          <w:rFonts w:hint="eastAsia" w:ascii="宋体" w:hAnsi="宋体" w:cs="宋体"/>
          <w:b/>
          <w:bCs/>
          <w:color w:val="auto"/>
          <w:sz w:val="40"/>
          <w:szCs w:val="40"/>
          <w:lang w:val="en-US" w:eastAsia="zh-CN"/>
        </w:rPr>
        <w:t>信息系统三级等保测评项目</w:t>
      </w:r>
      <w:r>
        <w:rPr>
          <w:rFonts w:hint="eastAsia" w:ascii="宋体" w:hAnsi="宋体" w:cs="宋体"/>
          <w:b/>
          <w:bCs/>
          <w:color w:val="auto"/>
          <w:sz w:val="40"/>
          <w:szCs w:val="40"/>
          <w:lang w:eastAsia="zh-CN"/>
        </w:rPr>
        <w:t>市场</w:t>
      </w:r>
      <w:r>
        <w:rPr>
          <w:rFonts w:hint="eastAsia" w:ascii="宋体" w:hAnsi="宋体" w:cs="宋体"/>
          <w:b/>
          <w:bCs/>
          <w:color w:val="auto"/>
          <w:sz w:val="40"/>
          <w:szCs w:val="40"/>
          <w:lang w:val="en-US" w:eastAsia="zh-CN"/>
        </w:rPr>
        <w:t>询价</w:t>
      </w:r>
      <w:r>
        <w:rPr>
          <w:rFonts w:hint="eastAsia" w:ascii="宋体" w:hAnsi="宋体" w:cs="宋体"/>
          <w:b/>
          <w:bCs/>
          <w:color w:val="auto"/>
          <w:sz w:val="40"/>
          <w:szCs w:val="40"/>
        </w:rPr>
        <w:t>公告</w:t>
      </w:r>
    </w:p>
    <w:bookmarkEnd w:id="5"/>
    <w:p>
      <w:pPr>
        <w:jc w:val="both"/>
        <w:rPr>
          <w:rFonts w:hint="eastAsia" w:ascii="宋体" w:hAnsi="宋体" w:eastAsia="宋体" w:cs="宋体"/>
          <w:b/>
          <w:bCs/>
          <w:color w:val="auto"/>
          <w:sz w:val="32"/>
          <w:szCs w:val="32"/>
          <w:lang w:val="en-US" w:eastAsia="zh-CN"/>
        </w:rPr>
      </w:pPr>
    </w:p>
    <w:p>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val="en-US" w:eastAsia="zh-CN"/>
        </w:rPr>
      </w:pPr>
      <w:bookmarkStart w:id="0" w:name="PO_默认文件内容_1"/>
      <w:r>
        <w:rPr>
          <w:rFonts w:hint="eastAsia" w:ascii="宋体" w:hAnsi="宋体" w:cs="宋体"/>
          <w:b w:val="0"/>
          <w:bCs w:val="0"/>
          <w:color w:val="auto"/>
          <w:kern w:val="2"/>
          <w:sz w:val="24"/>
          <w:szCs w:val="24"/>
          <w:lang w:val="en-US" w:eastAsia="zh-CN" w:bidi="ar-SA"/>
        </w:rPr>
        <w:t>古蔺县中医医院</w:t>
      </w:r>
      <w:r>
        <w:rPr>
          <w:rFonts w:hint="eastAsia" w:ascii="宋体" w:hAnsi="宋体" w:eastAsia="宋体" w:cs="宋体"/>
          <w:b w:val="0"/>
          <w:bCs w:val="0"/>
          <w:color w:val="auto"/>
          <w:kern w:val="2"/>
          <w:sz w:val="24"/>
          <w:szCs w:val="24"/>
          <w:lang w:val="en-US" w:eastAsia="zh-CN" w:bidi="ar-SA"/>
        </w:rPr>
        <w:t>拟启动“信息科2024年</w:t>
      </w:r>
      <w:r>
        <w:rPr>
          <w:rFonts w:hint="eastAsia" w:ascii="宋体" w:hAnsi="宋体" w:cs="宋体"/>
          <w:b w:val="0"/>
          <w:bCs w:val="0"/>
          <w:color w:val="auto"/>
          <w:kern w:val="2"/>
          <w:sz w:val="24"/>
          <w:szCs w:val="24"/>
          <w:lang w:val="en-US" w:eastAsia="zh-CN" w:bidi="ar-SA"/>
        </w:rPr>
        <w:t>信息系统三级等保测评项目</w:t>
      </w:r>
      <w:r>
        <w:rPr>
          <w:rFonts w:hint="eastAsia" w:ascii="宋体" w:hAnsi="宋体" w:eastAsia="宋体" w:cs="宋体"/>
          <w:b w:val="0"/>
          <w:bCs w:val="0"/>
          <w:color w:val="auto"/>
          <w:kern w:val="2"/>
          <w:sz w:val="24"/>
          <w:szCs w:val="24"/>
          <w:lang w:val="en-US" w:eastAsia="zh-CN" w:bidi="ar-SA"/>
        </w:rPr>
        <w:t>市场询价”，</w:t>
      </w:r>
      <w:r>
        <w:rPr>
          <w:rFonts w:hint="eastAsia" w:ascii="宋体" w:hAnsi="宋体" w:eastAsia="宋体" w:cs="宋体"/>
          <w:color w:val="auto"/>
          <w:sz w:val="24"/>
          <w:szCs w:val="24"/>
          <w:lang w:val="en-US" w:eastAsia="zh-CN"/>
        </w:rPr>
        <w:t>按照《政府采购需求管理办法》财库〔2021〕22号文件相关精神及要求，兹以公开征集（咨询）+专家论证推荐方式开展需求调查，通过此次调研产品分布、价格分布、配置、配套设施、特殊要求、易损件等市场信息并形成调研报告，此调研报告成果将</w:t>
      </w:r>
      <w:r>
        <w:rPr>
          <w:rFonts w:hint="eastAsia" w:ascii="宋体" w:hAnsi="宋体" w:cs="宋体"/>
          <w:color w:val="auto"/>
          <w:sz w:val="24"/>
          <w:szCs w:val="24"/>
          <w:lang w:val="en-US" w:eastAsia="zh-CN"/>
        </w:rPr>
        <w:t>作为</w:t>
      </w:r>
      <w:r>
        <w:rPr>
          <w:rFonts w:hint="eastAsia" w:ascii="宋体" w:hAnsi="宋体" w:eastAsia="宋体" w:cs="宋体"/>
          <w:color w:val="auto"/>
          <w:sz w:val="24"/>
          <w:szCs w:val="24"/>
          <w:lang w:val="en-US" w:eastAsia="zh-CN"/>
        </w:rPr>
        <w:t>采购方后期编制采购需求（含预算）及实施计划的重要参考依据。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此次活动为采购方为后期政府采购项目进行的前期市场调研活动，既充分面对市场同类产品进行邀约报价及产品信息收集，同时由采购方组织行业专家组成论证及推荐小组，结合采购方使用需求部门实际临床需求，最终形成调研报告。调研报告仅就参与的品牌进行性价比，需求匹配率的综合比较，其调研结果仅为采购方采购部门参考使用，并不代表其调研成果100%被正式采购时采用，不对正式采购时起到任何限制和约束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w:t>
      </w:r>
      <w:r>
        <w:rPr>
          <w:rFonts w:hint="eastAsia" w:ascii="宋体" w:hAnsi="宋体" w:cs="宋体"/>
          <w:color w:val="auto"/>
          <w:sz w:val="24"/>
          <w:szCs w:val="24"/>
          <w:lang w:val="en-US" w:eastAsia="zh-CN"/>
        </w:rPr>
        <w:t>仅限于市场前期调研，</w:t>
      </w:r>
      <w:r>
        <w:rPr>
          <w:rFonts w:hint="eastAsia" w:ascii="宋体" w:hAnsi="宋体" w:eastAsia="宋体" w:cs="宋体"/>
          <w:color w:val="auto"/>
          <w:sz w:val="24"/>
          <w:szCs w:val="24"/>
          <w:lang w:val="en-US" w:eastAsia="zh-CN"/>
        </w:rPr>
        <w:t>不产生法律效力，仅作为采购方使用需求部门正式采购活动前，采购部门相关责任主体后期编制采购需求及实施计划的重要参考依据，后期采购方采购部门将实施内部风险控制等程序后，按照政府采购相关规定开展正式的采购活动，供应商如认为采购技术参数等有倾向性或排他性，可以通过政府采购正常程序向采购方进行维权救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3.如响应本项目的供应商数量不足3家，并不影响采购方使用需求部门在本项目成果中引用有价值的信息作为后期正式采购时的技术资料。故本项目不发布结论性公告，评</w:t>
      </w:r>
      <w:r>
        <w:rPr>
          <w:rFonts w:hint="eastAsia" w:ascii="宋体" w:hAnsi="宋体" w:cs="宋体"/>
          <w:color w:val="auto"/>
          <w:sz w:val="24"/>
          <w:szCs w:val="24"/>
          <w:lang w:val="en-US" w:eastAsia="zh-CN"/>
        </w:rPr>
        <w:t>价</w:t>
      </w:r>
      <w:r>
        <w:rPr>
          <w:rFonts w:hint="eastAsia" w:ascii="宋体" w:hAnsi="宋体" w:eastAsia="宋体" w:cs="宋体"/>
          <w:color w:val="auto"/>
          <w:sz w:val="24"/>
          <w:szCs w:val="24"/>
          <w:lang w:val="en-US" w:eastAsia="zh-CN"/>
        </w:rPr>
        <w:t>结果仅作为内参使用。</w:t>
      </w:r>
    </w:p>
    <w:bookmarkEnd w:id="0"/>
    <w:p>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二、供应商邀请方式</w:t>
      </w:r>
    </w:p>
    <w:p>
      <w:pPr>
        <w:pStyle w:val="30"/>
        <w:tabs>
          <w:tab w:val="left" w:pos="0"/>
          <w:tab w:val="left" w:pos="210"/>
        </w:tabs>
        <w:spacing w:before="120" w:after="120" w:line="360" w:lineRule="auto"/>
        <w:ind w:left="0" w:leftChars="0" w:firstLine="480" w:firstLineChars="200"/>
        <w:jc w:val="left"/>
        <w:rPr>
          <w:rFonts w:hint="eastAsia" w:ascii="宋体" w:hAnsi="宋体" w:eastAsia="宋体" w:cs="宋体"/>
          <w:b w:val="0"/>
          <w:bCs w:val="0"/>
          <w:color w:val="auto"/>
          <w:kern w:val="2"/>
          <w:sz w:val="24"/>
          <w:szCs w:val="24"/>
          <w:lang w:val="en-US" w:eastAsia="zh-CN" w:bidi="ar-SA"/>
        </w:rPr>
      </w:pPr>
      <w:bookmarkStart w:id="1" w:name="PO_默认文件内容_3"/>
      <w:r>
        <w:rPr>
          <w:rFonts w:hint="eastAsia" w:ascii="宋体" w:hAnsi="宋体" w:eastAsia="宋体" w:cs="宋体"/>
          <w:b w:val="0"/>
          <w:bCs w:val="0"/>
          <w:color w:val="auto"/>
          <w:kern w:val="2"/>
          <w:sz w:val="24"/>
          <w:szCs w:val="24"/>
          <w:lang w:val="en-US" w:eastAsia="zh-CN" w:bidi="ar-SA"/>
        </w:rPr>
        <w:t>本次</w:t>
      </w:r>
      <w:r>
        <w:rPr>
          <w:rFonts w:hint="eastAsia" w:ascii="宋体" w:eastAsia="宋体" w:cs="宋体"/>
          <w:b/>
          <w:bCs/>
          <w:color w:val="auto"/>
          <w:kern w:val="2"/>
          <w:sz w:val="24"/>
          <w:szCs w:val="24"/>
          <w:lang w:val="en-US" w:eastAsia="zh-CN" w:bidi="ar-SA"/>
        </w:rPr>
        <w:t>古蔺县中医医院</w:t>
      </w:r>
      <w:r>
        <w:rPr>
          <w:rFonts w:hint="eastAsia" w:ascii="宋体" w:hAnsi="宋体" w:eastAsia="宋体" w:cs="宋体"/>
          <w:b/>
          <w:bCs/>
          <w:color w:val="auto"/>
          <w:kern w:val="2"/>
          <w:sz w:val="24"/>
          <w:szCs w:val="24"/>
          <w:lang w:val="en-US" w:eastAsia="zh-CN" w:bidi="ar-SA"/>
        </w:rPr>
        <w:t xml:space="preserve"> </w:t>
      </w:r>
      <w:r>
        <w:rPr>
          <w:rFonts w:hint="eastAsia" w:ascii="宋体" w:hAnsi="宋体" w:eastAsia="宋体" w:cs="宋体"/>
          <w:b w:val="0"/>
          <w:bCs w:val="0"/>
          <w:color w:val="auto"/>
          <w:kern w:val="2"/>
          <w:sz w:val="24"/>
          <w:szCs w:val="24"/>
          <w:lang w:val="en-US" w:eastAsia="zh-CN" w:bidi="ar-SA"/>
        </w:rPr>
        <w:t>关于“信息科2024年</w:t>
      </w:r>
      <w:r>
        <w:rPr>
          <w:rFonts w:hint="eastAsia" w:ascii="宋体" w:eastAsia="宋体" w:cs="宋体"/>
          <w:b w:val="0"/>
          <w:bCs w:val="0"/>
          <w:color w:val="auto"/>
          <w:kern w:val="2"/>
          <w:sz w:val="24"/>
          <w:szCs w:val="24"/>
          <w:lang w:val="en-US" w:eastAsia="zh-CN" w:bidi="ar-SA"/>
        </w:rPr>
        <w:t>信息系统三级等保测评项目</w:t>
      </w:r>
      <w:r>
        <w:rPr>
          <w:rFonts w:hint="eastAsia" w:ascii="宋体" w:hAnsi="宋体" w:eastAsia="宋体" w:cs="宋体"/>
          <w:b w:val="0"/>
          <w:bCs w:val="0"/>
          <w:color w:val="auto"/>
          <w:kern w:val="2"/>
          <w:sz w:val="24"/>
          <w:szCs w:val="24"/>
          <w:lang w:val="en-US" w:eastAsia="zh-CN" w:bidi="ar-SA"/>
        </w:rPr>
        <w:t>市场询价”以发布公告方式邀请符合条件的生产厂家或区域总经销或生产商家授权方参与。</w:t>
      </w:r>
    </w:p>
    <w:p>
      <w:pPr>
        <w:pStyle w:val="30"/>
        <w:tabs>
          <w:tab w:val="left" w:pos="0"/>
          <w:tab w:val="left" w:pos="210"/>
          <w:tab w:val="clear" w:pos="420"/>
        </w:tabs>
        <w:spacing w:before="120" w:after="120"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公告发布平台为</w:t>
      </w:r>
      <w:r>
        <w:rPr>
          <w:rFonts w:hint="eastAsia" w:ascii="宋体" w:hAnsi="宋体" w:eastAsia="宋体" w:cs="宋体"/>
          <w:b/>
          <w:bCs/>
          <w:color w:val="auto"/>
          <w:sz w:val="24"/>
          <w:szCs w:val="24"/>
          <w:lang w:val="en-US" w:eastAsia="zh-CN"/>
        </w:rPr>
        <w:t>：</w:t>
      </w:r>
    </w:p>
    <w:bookmarkEnd w:id="1"/>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sz w:val="24"/>
          <w:szCs w:val="22"/>
          <w:u w:val="none"/>
          <w:lang w:eastAsia="zh-CN"/>
        </w:rPr>
        <w:t>古蔺县中医医院</w:t>
      </w:r>
      <w:r>
        <w:rPr>
          <w:rFonts w:hint="eastAsia" w:ascii="宋体" w:hAnsi="宋体" w:eastAsia="宋体" w:cs="宋体"/>
          <w:b w:val="0"/>
          <w:bCs w:val="0"/>
          <w:sz w:val="24"/>
          <w:szCs w:val="22"/>
          <w:u w:val="none"/>
        </w:rPr>
        <w:t>官网（http://</w:t>
      </w:r>
      <w:r>
        <w:rPr>
          <w:rFonts w:hint="eastAsia" w:ascii="宋体" w:hAnsi="宋体" w:eastAsia="宋体" w:cs="宋体"/>
          <w:b w:val="0"/>
          <w:bCs w:val="0"/>
          <w:sz w:val="24"/>
          <w:szCs w:val="22"/>
          <w:u w:val="none"/>
          <w:lang w:val="en-US" w:eastAsia="zh-CN"/>
        </w:rPr>
        <w:t>www.glxzyyy.cn</w:t>
      </w:r>
      <w:r>
        <w:rPr>
          <w:rFonts w:hint="eastAsia" w:ascii="宋体" w:hAnsi="宋体" w:eastAsia="宋体" w:cs="宋体"/>
          <w:b w:val="0"/>
          <w:bCs w:val="0"/>
          <w:sz w:val="24"/>
          <w:szCs w:val="22"/>
          <w:u w:val="none"/>
        </w:rPr>
        <w:t>/）。</w:t>
      </w:r>
    </w:p>
    <w:p>
      <w:pPr>
        <w:spacing w:line="360" w:lineRule="auto"/>
        <w:jc w:val="both"/>
        <w:rPr>
          <w:rFonts w:hint="eastAsia" w:ascii="宋体" w:hAnsi="宋体" w:eastAsia="宋体" w:cs="宋体"/>
          <w:b/>
          <w:bCs/>
          <w:color w:val="auto"/>
          <w:sz w:val="24"/>
          <w:szCs w:val="24"/>
          <w:lang w:val="en-US" w:eastAsia="zh-CN"/>
        </w:rPr>
      </w:pPr>
    </w:p>
    <w:p>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三、参与本项目活动的供应商应具备的前提条件：</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1.供应商具有独立的民事责任能力，参与本次内部比选活动。</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供应商若为企业法人：提供“统一社会信用代码营业执照”；未换证的提供“营业执照、税务登记证、组织机构代码证或三证合一的营业执照”；1.2若为事业法人：提供“统一社会信用代码法人登记证书”；未换证的提交“事业法人登记证书、组织机构代码证”；1.3若为其他组织：提供“对应主管部门颁发的准许执业证明文件或营业执照”；1.4.若为自然人的，提供身份证明材料。以上均为复印件】</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2.根据相关法律法规规定：“采购项目提供整体设计、规范编制或者项目管理、监理、检测等服务的供应商，不得再参加该采购项目的其他采购活动。</w:t>
      </w:r>
      <w:r>
        <w:rPr>
          <w:rFonts w:hint="eastAsia" w:ascii="宋体" w:hAnsi="宋体" w:eastAsia="宋体" w:cs="宋体"/>
          <w:b/>
          <w:bCs/>
          <w:color w:val="auto"/>
          <w:kern w:val="2"/>
          <w:sz w:val="24"/>
          <w:szCs w:val="24"/>
          <w:lang w:val="en-US" w:eastAsia="zh-CN" w:bidi="ar-SA"/>
        </w:rPr>
        <w:t>供应商为采购人、采购代理机构在确定采购需求、编制招标文件过程中提供咨询论证，其提供的咨询论证意见成为招标文件中规定的供应商资格条件、技术服务商务要求、评标因素和标准、政府采购合同等实质性内容条款的，视同为采购项目提供规范编制。</w:t>
      </w:r>
      <w:r>
        <w:rPr>
          <w:rFonts w:hint="eastAsia" w:ascii="宋体" w:hAnsi="宋体" w:eastAsia="宋体" w:cs="宋体"/>
          <w:b w:val="0"/>
          <w:bCs w:val="0"/>
          <w:color w:val="auto"/>
          <w:kern w:val="2"/>
          <w:sz w:val="24"/>
          <w:szCs w:val="24"/>
          <w:lang w:val="en-US" w:eastAsia="zh-CN" w:bidi="ar-SA"/>
        </w:rPr>
        <w:t>”故参与本项目的供应商（含个人）须提供承诺：参</w:t>
      </w:r>
      <w:r>
        <w:rPr>
          <w:rFonts w:hint="eastAsia" w:ascii="宋体" w:hAnsi="宋体" w:eastAsia="宋体" w:cs="宋体"/>
          <w:b/>
          <w:bCs/>
          <w:color w:val="auto"/>
          <w:kern w:val="2"/>
          <w:sz w:val="24"/>
          <w:szCs w:val="24"/>
          <w:lang w:val="en-US" w:eastAsia="zh-CN" w:bidi="ar-SA"/>
        </w:rPr>
        <w:t>与本项目的供应商及相关人员所在单位不得再参与本项目后续的采购活动。【提供承诺函原件，请各家产品销售环节慎重考虑】；</w:t>
      </w:r>
      <w:r>
        <w:rPr>
          <w:rFonts w:hint="eastAsia" w:ascii="宋体" w:hAnsi="宋体" w:eastAsia="宋体" w:cs="宋体"/>
          <w:b w:val="0"/>
          <w:bCs w:val="0"/>
          <w:color w:val="auto"/>
          <w:kern w:val="2"/>
          <w:sz w:val="24"/>
          <w:szCs w:val="24"/>
          <w:lang w:val="en-US" w:eastAsia="zh-CN" w:bidi="ar-SA"/>
        </w:rPr>
        <w:t>其参与本项目活动的供应商将无法参与本项目正式的政府采购活动投标，但不限制其在本项目推荐的产品参与采购活动。</w:t>
      </w:r>
    </w:p>
    <w:p>
      <w:pPr>
        <w:pStyle w:val="30"/>
        <w:spacing w:before="120" w:after="120" w:line="360" w:lineRule="auto"/>
        <w:ind w:left="0" w:leftChars="0" w:firstLine="0" w:firstLineChars="0"/>
        <w:rPr>
          <w:rFonts w:hint="eastAsia" w:ascii="宋体" w:hAnsi="宋体" w:eastAsia="宋体" w:cs="宋体"/>
          <w:b/>
          <w:bCs/>
          <w:color w:val="auto"/>
          <w:sz w:val="24"/>
          <w:szCs w:val="24"/>
          <w:lang w:val="en-US" w:eastAsia="zh-CN"/>
        </w:rPr>
      </w:pPr>
    </w:p>
    <w:p>
      <w:pPr>
        <w:pStyle w:val="30"/>
        <w:spacing w:before="120" w:after="120" w:line="360" w:lineRule="auto"/>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四、本项目报名时间及方式：</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1.文件发售时间</w:t>
      </w:r>
      <w:r>
        <w:rPr>
          <w:rFonts w:hint="eastAsia" w:ascii="宋体" w:eastAsia="宋体" w:cs="宋体"/>
          <w:b/>
          <w:bCs/>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自2024年</w:t>
      </w:r>
      <w:r>
        <w:rPr>
          <w:rFonts w:hint="eastAsia" w:ascii="宋体" w:eastAsia="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月</w:t>
      </w:r>
      <w:r>
        <w:rPr>
          <w:rFonts w:hint="eastAsia" w:ascii="宋体" w:eastAsia="宋体" w:cs="宋体"/>
          <w:b/>
          <w:bCs/>
          <w:color w:val="auto"/>
          <w:kern w:val="2"/>
          <w:sz w:val="24"/>
          <w:szCs w:val="24"/>
          <w:lang w:val="en-US" w:eastAsia="zh-CN" w:bidi="ar-SA"/>
        </w:rPr>
        <w:t>27</w:t>
      </w:r>
      <w:r>
        <w:rPr>
          <w:rFonts w:hint="eastAsia" w:ascii="宋体" w:hAnsi="宋体" w:eastAsia="宋体" w:cs="宋体"/>
          <w:b/>
          <w:bCs/>
          <w:color w:val="auto"/>
          <w:kern w:val="2"/>
          <w:sz w:val="24"/>
          <w:szCs w:val="24"/>
          <w:lang w:val="en-US" w:eastAsia="zh-CN" w:bidi="ar-SA"/>
        </w:rPr>
        <w:t>日至2024年</w:t>
      </w:r>
      <w:r>
        <w:rPr>
          <w:rFonts w:hint="eastAsia" w:ascii="宋体" w:eastAsia="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月</w:t>
      </w:r>
      <w:r>
        <w:rPr>
          <w:rFonts w:hint="eastAsia" w:ascii="宋体" w:eastAsia="宋体" w:cs="宋体"/>
          <w:b/>
          <w:bCs/>
          <w:color w:val="auto"/>
          <w:kern w:val="2"/>
          <w:sz w:val="24"/>
          <w:szCs w:val="24"/>
          <w:lang w:val="en-US" w:eastAsia="zh-CN" w:bidi="ar-SA"/>
        </w:rPr>
        <w:t>6</w:t>
      </w:r>
      <w:r>
        <w:rPr>
          <w:rFonts w:hint="eastAsia" w:ascii="宋体" w:hAnsi="宋体" w:eastAsia="宋体" w:cs="宋体"/>
          <w:b/>
          <w:bCs/>
          <w:color w:val="auto"/>
          <w:kern w:val="2"/>
          <w:sz w:val="24"/>
          <w:szCs w:val="24"/>
          <w:lang w:val="en-US" w:eastAsia="zh-CN" w:bidi="ar-SA"/>
        </w:rPr>
        <w:t>日上午9：00－12：00，下午14：00－17：00止（北京时间，节假日除外）</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2.报名方式：（1）现场报名；（2）网上报名（按要求提供资料，请先联系承办单位），本项目不收取报名费。</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方式一：现场报名；报名须携带的资料：1.法定代表人授权委托书原件或公司介绍信原件（①法定代表人和授权代表签字；②项目名称、项目编号；③明确授权代表联系方式，以便采购会前告知是否达到开标条件；④法定代表人及授权代表的身份证复印件；以上报名资料均加盖公章）。</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方式二：网络报名：1、填写《依法获取采购文件及项目报名登记表》（详见附件1）加盖公章，确保投标单位全称必须与公章名称保持一致。将《依法获取采购文件及项目报名登记表》扫描后以电子邮件方式传至代理机构指定邮箱后获取代理机构回执方视为报名成功。指定邮箱：</w:t>
      </w:r>
      <w:r>
        <w:rPr>
          <w:rFonts w:hint="eastAsia" w:ascii="宋体" w:eastAsia="宋体" w:cs="宋体"/>
          <w:b w:val="0"/>
          <w:bCs w:val="0"/>
          <w:color w:val="auto"/>
          <w:kern w:val="2"/>
          <w:sz w:val="24"/>
          <w:szCs w:val="24"/>
          <w:lang w:val="en-US" w:eastAsia="zh-CN" w:bidi="ar-SA"/>
        </w:rPr>
        <w:t>405116906</w:t>
      </w:r>
      <w:r>
        <w:rPr>
          <w:rFonts w:hint="eastAsia" w:ascii="宋体" w:hAnsi="宋体" w:eastAsia="宋体" w:cs="宋体"/>
          <w:b w:val="0"/>
          <w:bCs w:val="0"/>
          <w:color w:val="auto"/>
          <w:kern w:val="2"/>
          <w:sz w:val="24"/>
          <w:szCs w:val="24"/>
          <w:lang w:val="en-US" w:eastAsia="zh-CN" w:bidi="ar-SA"/>
        </w:rPr>
        <w:t>@qq.com；联系人：</w:t>
      </w:r>
      <w:r>
        <w:rPr>
          <w:rFonts w:hint="eastAsia" w:ascii="宋体" w:eastAsia="宋体" w:cs="宋体"/>
          <w:b w:val="0"/>
          <w:bCs w:val="0"/>
          <w:color w:val="auto"/>
          <w:kern w:val="2"/>
          <w:sz w:val="24"/>
          <w:szCs w:val="24"/>
          <w:lang w:val="en-US" w:eastAsia="zh-CN" w:bidi="ar-SA"/>
        </w:rPr>
        <w:t>彭先生</w:t>
      </w:r>
      <w:r>
        <w:rPr>
          <w:rFonts w:hint="eastAsia" w:ascii="宋体" w:hAnsi="宋体" w:eastAsia="宋体" w:cs="宋体"/>
          <w:b w:val="0"/>
          <w:bCs w:val="0"/>
          <w:color w:val="auto"/>
          <w:kern w:val="2"/>
          <w:sz w:val="24"/>
          <w:szCs w:val="24"/>
          <w:lang w:val="en-US" w:eastAsia="zh-CN" w:bidi="ar-SA"/>
        </w:rPr>
        <w:t>；联系方式：0830-</w:t>
      </w:r>
      <w:r>
        <w:rPr>
          <w:rFonts w:hint="eastAsia" w:ascii="宋体" w:eastAsia="宋体" w:cs="宋体"/>
          <w:b w:val="0"/>
          <w:bCs w:val="0"/>
          <w:color w:val="auto"/>
          <w:kern w:val="2"/>
          <w:sz w:val="24"/>
          <w:szCs w:val="24"/>
          <w:lang w:val="en-US" w:eastAsia="zh-CN" w:bidi="ar-SA"/>
        </w:rPr>
        <w:t>7061776</w:t>
      </w:r>
      <w:r>
        <w:rPr>
          <w:rFonts w:hint="eastAsia" w:ascii="宋体" w:hAnsi="宋体" w:eastAsia="宋体" w:cs="宋体"/>
          <w:b w:val="0"/>
          <w:bCs w:val="0"/>
          <w:color w:val="auto"/>
          <w:kern w:val="2"/>
          <w:sz w:val="24"/>
          <w:szCs w:val="24"/>
          <w:lang w:val="en-US" w:eastAsia="zh-CN" w:bidi="ar-SA"/>
        </w:rPr>
        <w:t xml:space="preserve"> </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3.递交</w:t>
      </w:r>
      <w:r>
        <w:rPr>
          <w:rFonts w:hint="eastAsia" w:ascii="宋体" w:hAnsi="宋体" w:eastAsia="宋体" w:cs="宋体"/>
          <w:b w:val="0"/>
          <w:bCs w:val="0"/>
          <w:color w:val="auto"/>
          <w:kern w:val="2"/>
          <w:sz w:val="24"/>
          <w:szCs w:val="24"/>
          <w:lang w:val="zh-CN" w:eastAsia="zh-CN" w:bidi="ar-SA"/>
        </w:rPr>
        <w:t>响应文件份数：正本1份；副本</w:t>
      </w: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zh-CN" w:eastAsia="zh-CN" w:bidi="ar-SA"/>
        </w:rPr>
        <w:t>份；</w:t>
      </w:r>
      <w:r>
        <w:rPr>
          <w:rFonts w:hint="eastAsia" w:ascii="宋体" w:hAnsi="宋体" w:eastAsia="宋体" w:cs="宋体"/>
          <w:b w:val="0"/>
          <w:bCs w:val="0"/>
          <w:color w:val="auto"/>
          <w:kern w:val="2"/>
          <w:sz w:val="24"/>
          <w:szCs w:val="24"/>
          <w:lang w:val="en-US" w:eastAsia="zh-CN" w:bidi="ar-SA"/>
        </w:rPr>
        <w:t>电子文档U盘1份；不须单独提供报价一览表，在响应文件中提供即可，在现场不进行唱标。电子文档必须为正本的扫描件（PDF格式），便于采购人后期归档保管。</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val="zh-CN" w:eastAsia="zh-CN" w:bidi="ar-SA"/>
        </w:rPr>
        <w:t>响应文件外层密封袋的标注：项目名称、项目编号、供应商名称、年月日。</w:t>
      </w:r>
    </w:p>
    <w:p>
      <w:pPr>
        <w:spacing w:afterLines="5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五．递交活动响应文件截止时间：2024年</w:t>
      </w: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月</w:t>
      </w:r>
      <w:r>
        <w:rPr>
          <w:rFonts w:hint="eastAsia" w:ascii="宋体" w:hAnsi="宋体" w:cs="宋体"/>
          <w:b/>
          <w:bCs/>
          <w:color w:val="auto"/>
          <w:kern w:val="2"/>
          <w:sz w:val="24"/>
          <w:szCs w:val="24"/>
          <w:lang w:val="en-US" w:eastAsia="zh-CN" w:bidi="ar-SA"/>
        </w:rPr>
        <w:t>7</w:t>
      </w:r>
      <w:r>
        <w:rPr>
          <w:rFonts w:hint="eastAsia" w:ascii="宋体" w:hAnsi="宋体" w:eastAsia="宋体" w:cs="宋体"/>
          <w:b/>
          <w:bCs/>
          <w:color w:val="auto"/>
          <w:kern w:val="2"/>
          <w:sz w:val="24"/>
          <w:szCs w:val="24"/>
          <w:lang w:val="en-US" w:eastAsia="zh-CN" w:bidi="ar-SA"/>
        </w:rPr>
        <w:t>日下午</w:t>
      </w:r>
      <w:r>
        <w:rPr>
          <w:rFonts w:hint="eastAsia" w:ascii="宋体" w:hAnsi="宋体" w:cs="宋体"/>
          <w:b/>
          <w:bCs/>
          <w:color w:val="auto"/>
          <w:kern w:val="2"/>
          <w:sz w:val="24"/>
          <w:szCs w:val="24"/>
          <w:lang w:val="en-US" w:eastAsia="zh-CN" w:bidi="ar-SA"/>
        </w:rPr>
        <w:t>14</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0整。</w:t>
      </w:r>
    </w:p>
    <w:p>
      <w:pPr>
        <w:spacing w:after="12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递交活动响应文件接收时间：2024年</w:t>
      </w: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月</w:t>
      </w:r>
      <w:r>
        <w:rPr>
          <w:rFonts w:hint="eastAsia" w:ascii="宋体" w:hAnsi="宋体" w:cs="宋体"/>
          <w:b/>
          <w:bCs/>
          <w:color w:val="auto"/>
          <w:kern w:val="2"/>
          <w:sz w:val="24"/>
          <w:szCs w:val="24"/>
          <w:lang w:val="en-US" w:eastAsia="zh-CN" w:bidi="ar-SA"/>
        </w:rPr>
        <w:t>7</w:t>
      </w:r>
      <w:r>
        <w:rPr>
          <w:rFonts w:hint="eastAsia" w:ascii="宋体" w:hAnsi="宋体" w:eastAsia="宋体" w:cs="宋体"/>
          <w:b/>
          <w:bCs/>
          <w:color w:val="auto"/>
          <w:kern w:val="2"/>
          <w:sz w:val="24"/>
          <w:szCs w:val="24"/>
          <w:lang w:val="en-US" w:eastAsia="zh-CN" w:bidi="ar-SA"/>
        </w:rPr>
        <w:t>日下午14:</w:t>
      </w:r>
      <w:r>
        <w:rPr>
          <w:rFonts w:hint="eastAsia" w:ascii="宋体" w:hAnsi="宋体" w:cs="宋体"/>
          <w:b/>
          <w:bCs/>
          <w:color w:val="auto"/>
          <w:kern w:val="2"/>
          <w:sz w:val="24"/>
          <w:szCs w:val="24"/>
          <w:lang w:val="en-US" w:eastAsia="zh-CN" w:bidi="ar-SA"/>
        </w:rPr>
        <w:t>00</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14</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0整。</w:t>
      </w:r>
    </w:p>
    <w:p>
      <w:pPr>
        <w:spacing w:after="12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六、本项目推荐模式：</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1.按要求递交推荐产品响应文件。</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2.鼓励被推荐产品生产厂家技术人员现场讲解，讲解内容包含且不限于：</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2.1.被推荐产品的技术优势或特点，性价比优势（配置清单及软件系统等），同类同级别产品的对比分析；</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2.2.商务优势介绍，如质保期，重要配品配件质保期及价格；其他商务优势：培训等；</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2.3.现场与采购人代表谈判；</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3.其他增值服务或内容。</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3.被推荐产品生产厂家技术人员现场提供PPT讲解，或被推荐产品关键技术实操视频分析，提供现场讲解。</w:t>
      </w:r>
    </w:p>
    <w:p>
      <w:pPr>
        <w:spacing w:after="12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七、递交响应文件地点：</w:t>
      </w:r>
      <w:r>
        <w:rPr>
          <w:rFonts w:hint="eastAsia" w:ascii="宋体" w:hAnsi="宋体" w:cs="宋体"/>
          <w:b/>
          <w:bCs/>
          <w:color w:val="auto"/>
          <w:kern w:val="2"/>
          <w:sz w:val="24"/>
          <w:szCs w:val="24"/>
          <w:lang w:val="en-US" w:eastAsia="zh-CN" w:bidi="ar-SA"/>
        </w:rPr>
        <w:t>古蔺县中医医院工会</w:t>
      </w:r>
      <w:r>
        <w:rPr>
          <w:rFonts w:hint="eastAsia" w:ascii="宋体" w:hAnsi="宋体" w:eastAsia="宋体" w:cs="宋体"/>
          <w:b/>
          <w:bCs/>
          <w:color w:val="auto"/>
          <w:kern w:val="2"/>
          <w:sz w:val="24"/>
          <w:szCs w:val="24"/>
          <w:lang w:val="en-US" w:eastAsia="zh-CN" w:bidi="ar-SA"/>
        </w:rPr>
        <w:t>行政办公楼</w:t>
      </w:r>
      <w:r>
        <w:rPr>
          <w:rFonts w:hint="eastAsia" w:ascii="宋体" w:hAnsi="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en-US" w:eastAsia="zh-CN" w:bidi="ar-SA"/>
        </w:rPr>
        <w:t>楼会议室</w:t>
      </w:r>
    </w:p>
    <w:p>
      <w:pPr>
        <w:spacing w:after="50" w:line="360" w:lineRule="auto"/>
        <w:ind w:firstLine="482" w:firstLineChars="200"/>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具体地址：</w:t>
      </w:r>
      <w:r>
        <w:rPr>
          <w:rFonts w:hint="eastAsia" w:ascii="宋体" w:hAnsi="宋体" w:cs="宋体"/>
          <w:b/>
          <w:bCs/>
          <w:color w:val="auto"/>
          <w:kern w:val="2"/>
          <w:sz w:val="24"/>
          <w:szCs w:val="24"/>
          <w:lang w:val="en-US" w:eastAsia="zh-CN" w:bidi="ar-SA"/>
        </w:rPr>
        <w:t>古蔺县落鸿路56号</w:t>
      </w:r>
    </w:p>
    <w:p>
      <w:pPr>
        <w:pStyle w:val="31"/>
        <w:spacing w:line="360" w:lineRule="auto"/>
        <w:ind w:firstLine="0" w:firstLineChars="0"/>
        <w:rPr>
          <w:rFonts w:hint="eastAsia" w:ascii="宋体" w:hAnsi="宋体" w:eastAsia="宋体" w:cs="宋体"/>
          <w:b/>
          <w:bCs/>
          <w:color w:val="auto"/>
          <w:kern w:val="2"/>
          <w:sz w:val="24"/>
          <w:szCs w:val="24"/>
          <w:lang w:val="en-US" w:eastAsia="zh-CN" w:bidi="ar-SA"/>
        </w:rPr>
      </w:pPr>
    </w:p>
    <w:p>
      <w:pPr>
        <w:pStyle w:val="31"/>
        <w:spacing w:line="360" w:lineRule="auto"/>
        <w:ind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八、联系方式</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联系人：</w:t>
      </w:r>
      <w:r>
        <w:rPr>
          <w:rFonts w:hint="eastAsia" w:ascii="宋体" w:eastAsia="宋体" w:cs="宋体"/>
          <w:b w:val="0"/>
          <w:bCs w:val="0"/>
          <w:color w:val="auto"/>
          <w:kern w:val="2"/>
          <w:sz w:val="24"/>
          <w:szCs w:val="24"/>
          <w:lang w:val="en-US" w:eastAsia="zh-CN" w:bidi="ar-SA"/>
        </w:rPr>
        <w:t>彭</w:t>
      </w:r>
      <w:r>
        <w:rPr>
          <w:rFonts w:hint="eastAsia" w:ascii="宋体" w:hAnsi="宋体" w:eastAsia="宋体" w:cs="宋体"/>
          <w:b w:val="0"/>
          <w:bCs w:val="0"/>
          <w:color w:val="auto"/>
          <w:kern w:val="2"/>
          <w:sz w:val="24"/>
          <w:szCs w:val="24"/>
          <w:lang w:val="en-US" w:eastAsia="zh-CN" w:bidi="ar-SA"/>
        </w:rPr>
        <w:t>先生</w:t>
      </w:r>
    </w:p>
    <w:p>
      <w:pPr>
        <w:pStyle w:val="30"/>
        <w:tabs>
          <w:tab w:val="left" w:pos="0"/>
          <w:tab w:val="left" w:pos="210"/>
          <w:tab w:val="clear" w:pos="420"/>
        </w:tabs>
        <w:spacing w:before="120" w:after="120" w:line="360" w:lineRule="auto"/>
        <w:ind w:left="0" w:leftChars="0" w:firstLine="0" w:firstLineChars="0"/>
        <w:jc w:val="left"/>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联系电话：</w:t>
      </w:r>
      <w:r>
        <w:rPr>
          <w:rFonts w:hint="eastAsia" w:ascii="宋体" w:eastAsia="宋体" w:cs="宋体"/>
          <w:b w:val="0"/>
          <w:bCs w:val="0"/>
          <w:color w:val="auto"/>
          <w:kern w:val="2"/>
          <w:sz w:val="24"/>
          <w:szCs w:val="24"/>
          <w:lang w:val="en-US" w:eastAsia="zh-CN" w:bidi="ar-SA"/>
        </w:rPr>
        <w:t>18008228055</w:t>
      </w:r>
    </w:p>
    <w:p>
      <w:pPr>
        <w:spacing w:line="360" w:lineRule="auto"/>
        <w:jc w:val="right"/>
        <w:rPr>
          <w:rFonts w:hint="eastAsia" w:ascii="宋体" w:hAnsi="宋体" w:eastAsia="宋体" w:cs="宋体"/>
          <w:b w:val="0"/>
          <w:bCs w:val="0"/>
          <w:color w:val="auto"/>
          <w:kern w:val="2"/>
          <w:sz w:val="24"/>
          <w:szCs w:val="24"/>
          <w:lang w:val="en-US" w:eastAsia="zh-CN" w:bidi="ar-SA"/>
        </w:rPr>
      </w:pPr>
    </w:p>
    <w:p>
      <w:p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                                                       古蔺县中医医院</w:t>
      </w:r>
    </w:p>
    <w:p>
      <w:pPr>
        <w:spacing w:line="360" w:lineRule="auto"/>
        <w:jc w:val="righ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2024年3月</w:t>
      </w:r>
      <w:r>
        <w:rPr>
          <w:rFonts w:hint="eastAsia" w:ascii="宋体" w:hAnsi="宋体" w:cs="宋体"/>
          <w:b w:val="0"/>
          <w:bCs w:val="0"/>
          <w:color w:val="auto"/>
          <w:kern w:val="2"/>
          <w:sz w:val="24"/>
          <w:szCs w:val="24"/>
          <w:lang w:val="en-US" w:eastAsia="zh-CN" w:bidi="ar-SA"/>
        </w:rPr>
        <w:t>27</w:t>
      </w:r>
      <w:r>
        <w:rPr>
          <w:rFonts w:hint="eastAsia" w:ascii="宋体" w:hAnsi="宋体" w:eastAsia="宋体" w:cs="宋体"/>
          <w:b w:val="0"/>
          <w:bCs w:val="0"/>
          <w:color w:val="auto"/>
          <w:kern w:val="2"/>
          <w:sz w:val="24"/>
          <w:szCs w:val="24"/>
          <w:lang w:val="en-US" w:eastAsia="zh-CN" w:bidi="ar-SA"/>
        </w:rPr>
        <w:t>日</w:t>
      </w: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附件1：信息系统三级等保测评项目清单</w:t>
      </w:r>
    </w:p>
    <w:tbl>
      <w:tblPr>
        <w:tblStyle w:val="17"/>
        <w:tblW w:w="5369" w:type="pct"/>
        <w:tblInd w:w="-632"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7"/>
        <w:gridCol w:w="850"/>
        <w:gridCol w:w="1113"/>
        <w:gridCol w:w="1875"/>
        <w:gridCol w:w="1137"/>
        <w:gridCol w:w="1450"/>
        <w:gridCol w:w="2089"/>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0" w:hRule="atLeast"/>
        </w:trPr>
        <w:tc>
          <w:tcPr>
            <w:tcW w:w="34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序号</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品目号</w:t>
            </w:r>
          </w:p>
        </w:tc>
        <w:tc>
          <w:tcPr>
            <w:tcW w:w="60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采购科室</w:t>
            </w:r>
          </w:p>
        </w:tc>
        <w:tc>
          <w:tcPr>
            <w:tcW w:w="102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市场调研对象</w:t>
            </w:r>
          </w:p>
        </w:tc>
        <w:tc>
          <w:tcPr>
            <w:tcW w:w="62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预采购数量</w:t>
            </w:r>
            <w:r>
              <w:rPr>
                <w:rFonts w:hint="eastAsia" w:ascii="宋体" w:hAnsi="宋体" w:cs="宋体"/>
                <w:i w:val="0"/>
                <w:iCs w:val="0"/>
                <w:color w:val="auto"/>
                <w:kern w:val="0"/>
                <w:sz w:val="21"/>
                <w:szCs w:val="21"/>
                <w:u w:val="none"/>
                <w:lang w:val="en-US" w:eastAsia="zh-CN" w:bidi="ar"/>
              </w:rPr>
              <w:t>单位</w:t>
            </w:r>
          </w:p>
        </w:tc>
        <w:tc>
          <w:tcPr>
            <w:tcW w:w="79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市场调研时间</w:t>
            </w:r>
          </w:p>
        </w:tc>
        <w:tc>
          <w:tcPr>
            <w:tcW w:w="1141"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项目概述</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34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w:t>
            </w: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01-01</w:t>
            </w:r>
          </w:p>
        </w:tc>
        <w:tc>
          <w:tcPr>
            <w:tcW w:w="60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信息科</w:t>
            </w:r>
          </w:p>
        </w:tc>
        <w:tc>
          <w:tcPr>
            <w:tcW w:w="10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信息系统安全测评服务</w:t>
            </w:r>
          </w:p>
        </w:tc>
        <w:tc>
          <w:tcPr>
            <w:tcW w:w="62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项</w:t>
            </w:r>
          </w:p>
        </w:tc>
        <w:tc>
          <w:tcPr>
            <w:tcW w:w="79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4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对互联网医院系统、HIS系统（含EMR）、LIS系统、PACS系统、银医系统进行信息系统三级等保测评</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3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w:t>
            </w: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02-01</w:t>
            </w:r>
          </w:p>
        </w:tc>
        <w:tc>
          <w:tcPr>
            <w:tcW w:w="60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信息科</w:t>
            </w:r>
          </w:p>
        </w:tc>
        <w:tc>
          <w:tcPr>
            <w:tcW w:w="1024"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网络安全服务</w:t>
            </w:r>
          </w:p>
        </w:tc>
        <w:tc>
          <w:tcPr>
            <w:tcW w:w="62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项</w:t>
            </w:r>
          </w:p>
        </w:tc>
        <w:tc>
          <w:tcPr>
            <w:tcW w:w="79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4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szCs w:val="21"/>
              </w:rPr>
              <w:t>提供网络安全服务</w:t>
            </w:r>
          </w:p>
        </w:tc>
      </w:tr>
    </w:tbl>
    <w:p>
      <w:pPr>
        <w:pStyle w:val="27"/>
        <w:ind w:left="0" w:leftChars="0" w:firstLine="0" w:firstLineChars="0"/>
        <w:rPr>
          <w:rFonts w:hint="eastAsia" w:ascii="宋体" w:hAnsi="宋体" w:cs="宋体"/>
          <w:b/>
          <w:bCs/>
          <w:color w:val="auto"/>
          <w:kern w:val="2"/>
          <w:sz w:val="24"/>
          <w:szCs w:val="24"/>
          <w:lang w:val="en-US" w:eastAsia="zh-CN" w:bidi="ar-SA"/>
        </w:rPr>
      </w:pPr>
    </w:p>
    <w:p>
      <w:pPr>
        <w:pStyle w:val="27"/>
        <w:spacing w:line="360" w:lineRule="auto"/>
        <w:ind w:left="0" w:leftChars="0" w:firstLine="0" w:firstLineChars="0"/>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附件2：信息系统三级等保测评项目的基本要求</w:t>
      </w:r>
    </w:p>
    <w:p>
      <w:pPr>
        <w:pStyle w:val="27"/>
        <w:spacing w:line="360" w:lineRule="auto"/>
        <w:ind w:left="0" w:leftChars="0" w:firstLine="0" w:firstLineChars="0"/>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注：本项目</w:t>
      </w:r>
      <w:r>
        <w:rPr>
          <w:rFonts w:hint="eastAsia" w:ascii="宋体" w:hAnsi="宋体" w:cs="宋体"/>
          <w:b/>
          <w:bCs/>
          <w:i w:val="0"/>
          <w:iCs w:val="0"/>
          <w:color w:val="auto"/>
          <w:kern w:val="0"/>
          <w:sz w:val="24"/>
          <w:szCs w:val="24"/>
          <w:u w:val="none"/>
          <w:lang w:val="en-US" w:eastAsia="zh-CN" w:bidi="ar"/>
        </w:rPr>
        <w:t>为询价，采购人已经给出基本采购需求，供应商在给出的采购需求的基础上根据所投产品自行完善参数，并按给出的表格进行报价。</w:t>
      </w:r>
    </w:p>
    <w:p>
      <w:pPr>
        <w:numPr>
          <w:ilvl w:val="0"/>
          <w:numId w:val="0"/>
        </w:numPr>
        <w:spacing w:line="360" w:lineRule="auto"/>
        <w:rPr>
          <w:rFonts w:hint="default" w:ascii="宋体" w:hAnsi="宋体" w:eastAsia="宋体" w:cs="宋体"/>
          <w:b/>
          <w:bCs/>
          <w:i w:val="0"/>
          <w:iCs w:val="0"/>
          <w:color w:val="auto"/>
          <w:spacing w:val="2"/>
          <w:kern w:val="0"/>
          <w:sz w:val="24"/>
          <w:szCs w:val="24"/>
          <w:u w:val="none"/>
          <w:lang w:val="en-US" w:eastAsia="zh-CN" w:bidi="ar"/>
        </w:rPr>
      </w:pPr>
    </w:p>
    <w:p>
      <w:pPr>
        <w:numPr>
          <w:ilvl w:val="0"/>
          <w:numId w:val="0"/>
        </w:numPr>
        <w:spacing w:line="360" w:lineRule="auto"/>
        <w:rPr>
          <w:rFonts w:hint="default" w:ascii="宋体" w:hAnsi="宋体" w:eastAsia="宋体" w:cs="宋体"/>
          <w:b/>
          <w:bCs/>
          <w:i w:val="0"/>
          <w:iCs w:val="0"/>
          <w:color w:val="auto"/>
          <w:spacing w:val="2"/>
          <w:kern w:val="0"/>
          <w:sz w:val="24"/>
          <w:szCs w:val="24"/>
          <w:u w:val="none"/>
          <w:lang w:val="en-US" w:eastAsia="zh-CN" w:bidi="ar"/>
        </w:rPr>
      </w:pPr>
      <w:r>
        <w:rPr>
          <w:rFonts w:hint="default" w:ascii="宋体" w:hAnsi="宋体" w:eastAsia="宋体" w:cs="宋体"/>
          <w:b/>
          <w:bCs/>
          <w:i w:val="0"/>
          <w:iCs w:val="0"/>
          <w:color w:val="auto"/>
          <w:spacing w:val="2"/>
          <w:kern w:val="0"/>
          <w:sz w:val="24"/>
          <w:szCs w:val="24"/>
          <w:u w:val="none"/>
          <w:lang w:val="en-US" w:eastAsia="zh-CN" w:bidi="ar"/>
        </w:rPr>
        <w:t>01-01</w:t>
      </w:r>
      <w:r>
        <w:rPr>
          <w:rFonts w:hint="default" w:ascii="宋体" w:hAnsi="宋体" w:eastAsia="宋体" w:cs="宋体"/>
          <w:b/>
          <w:bCs/>
          <w:i w:val="0"/>
          <w:iCs w:val="0"/>
          <w:color w:val="auto"/>
          <w:spacing w:val="2"/>
          <w:kern w:val="0"/>
          <w:sz w:val="24"/>
          <w:szCs w:val="24"/>
          <w:u w:val="none"/>
          <w:lang w:val="en-US" w:eastAsia="zh-CN" w:bidi="ar"/>
        </w:rPr>
        <w:tab/>
      </w:r>
      <w:r>
        <w:rPr>
          <w:rFonts w:hint="default" w:ascii="宋体" w:hAnsi="宋体" w:eastAsia="宋体" w:cs="宋体"/>
          <w:b/>
          <w:bCs/>
          <w:i w:val="0"/>
          <w:iCs w:val="0"/>
          <w:color w:val="auto"/>
          <w:spacing w:val="2"/>
          <w:kern w:val="0"/>
          <w:sz w:val="24"/>
          <w:szCs w:val="24"/>
          <w:u w:val="none"/>
          <w:lang w:val="en-US" w:eastAsia="zh-CN" w:bidi="ar"/>
        </w:rPr>
        <w:t>互联网医院</w:t>
      </w:r>
    </w:p>
    <w:p>
      <w:pPr>
        <w:numPr>
          <w:ilvl w:val="0"/>
          <w:numId w:val="0"/>
        </w:numPr>
        <w:spacing w:line="360" w:lineRule="auto"/>
        <w:ind w:firstLine="480" w:firstLineChars="200"/>
        <w:rPr>
          <w:rFonts w:hint="eastAsia" w:ascii="宋体" w:hAnsi="宋体" w:eastAsia="宋体" w:cs="宋体"/>
          <w:b/>
          <w:bCs/>
          <w:i w:val="0"/>
          <w:iCs w:val="0"/>
          <w:color w:val="auto"/>
          <w:spacing w:val="2"/>
          <w:kern w:val="0"/>
          <w:sz w:val="24"/>
          <w:szCs w:val="24"/>
          <w:u w:val="none"/>
          <w:lang w:val="en-US" w:eastAsia="zh-CN" w:bidi="ar"/>
        </w:rPr>
      </w:pPr>
      <w:r>
        <w:rPr>
          <w:rFonts w:hint="eastAsia" w:ascii="宋体" w:hAnsi="宋体" w:eastAsia="宋体" w:cs="宋体"/>
          <w:i w:val="0"/>
          <w:iCs w:val="0"/>
          <w:color w:val="auto"/>
          <w:sz w:val="24"/>
          <w:szCs w:val="24"/>
          <w:u w:val="none"/>
          <w:lang w:val="en-US" w:eastAsia="zh-CN"/>
        </w:rPr>
        <w:t>对互联网医院系统、HIS系统（含EMR）、LIS系统、PACS系统、银医系统进行信息系统三级等保测评并取得测评证书。</w:t>
      </w:r>
    </w:p>
    <w:p>
      <w:pPr>
        <w:numPr>
          <w:ilvl w:val="0"/>
          <w:numId w:val="0"/>
        </w:numPr>
        <w:spacing w:line="360" w:lineRule="auto"/>
        <w:rPr>
          <w:rFonts w:hint="default" w:ascii="宋体" w:hAnsi="宋体" w:eastAsia="宋体" w:cs="宋体"/>
          <w:b/>
          <w:bCs/>
          <w:i w:val="0"/>
          <w:iCs w:val="0"/>
          <w:color w:val="auto"/>
          <w:spacing w:val="2"/>
          <w:kern w:val="0"/>
          <w:sz w:val="24"/>
          <w:szCs w:val="24"/>
          <w:u w:val="none"/>
          <w:lang w:val="en-US" w:eastAsia="zh-CN" w:bidi="ar"/>
        </w:rPr>
      </w:pPr>
      <w:r>
        <w:rPr>
          <w:rFonts w:hint="default" w:ascii="宋体" w:hAnsi="宋体" w:eastAsia="宋体" w:cs="宋体"/>
          <w:b/>
          <w:bCs/>
          <w:i w:val="0"/>
          <w:iCs w:val="0"/>
          <w:color w:val="auto"/>
          <w:spacing w:val="2"/>
          <w:kern w:val="0"/>
          <w:sz w:val="24"/>
          <w:szCs w:val="24"/>
          <w:u w:val="none"/>
          <w:lang w:val="en-US" w:eastAsia="zh-CN" w:bidi="ar"/>
        </w:rPr>
        <w:t>0</w:t>
      </w:r>
      <w:r>
        <w:rPr>
          <w:rFonts w:hint="eastAsia" w:ascii="宋体" w:hAnsi="宋体" w:cs="宋体"/>
          <w:b/>
          <w:bCs/>
          <w:i w:val="0"/>
          <w:iCs w:val="0"/>
          <w:color w:val="auto"/>
          <w:spacing w:val="2"/>
          <w:kern w:val="0"/>
          <w:sz w:val="24"/>
          <w:szCs w:val="24"/>
          <w:u w:val="none"/>
          <w:lang w:val="en-US" w:eastAsia="zh-CN" w:bidi="ar"/>
        </w:rPr>
        <w:t>2</w:t>
      </w:r>
      <w:r>
        <w:rPr>
          <w:rFonts w:hint="default" w:ascii="宋体" w:hAnsi="宋体" w:eastAsia="宋体" w:cs="宋体"/>
          <w:b/>
          <w:bCs/>
          <w:i w:val="0"/>
          <w:iCs w:val="0"/>
          <w:color w:val="auto"/>
          <w:spacing w:val="2"/>
          <w:kern w:val="0"/>
          <w:sz w:val="24"/>
          <w:szCs w:val="24"/>
          <w:u w:val="none"/>
          <w:lang w:val="en-US" w:eastAsia="zh-CN" w:bidi="ar"/>
        </w:rPr>
        <w:t>-01</w:t>
      </w:r>
      <w:r>
        <w:rPr>
          <w:rFonts w:hint="default" w:ascii="宋体" w:hAnsi="宋体" w:eastAsia="宋体" w:cs="宋体"/>
          <w:b/>
          <w:bCs/>
          <w:i w:val="0"/>
          <w:iCs w:val="0"/>
          <w:color w:val="auto"/>
          <w:spacing w:val="2"/>
          <w:kern w:val="0"/>
          <w:sz w:val="24"/>
          <w:szCs w:val="24"/>
          <w:u w:val="none"/>
          <w:lang w:val="en-US" w:eastAsia="zh-CN" w:bidi="ar"/>
        </w:rPr>
        <w:tab/>
      </w:r>
      <w:r>
        <w:rPr>
          <w:rFonts w:hint="default" w:ascii="宋体" w:hAnsi="宋体" w:eastAsia="宋体" w:cs="宋体"/>
          <w:b/>
          <w:bCs/>
          <w:i w:val="0"/>
          <w:iCs w:val="0"/>
          <w:color w:val="auto"/>
          <w:spacing w:val="2"/>
          <w:kern w:val="0"/>
          <w:sz w:val="24"/>
          <w:szCs w:val="24"/>
          <w:u w:val="none"/>
          <w:lang w:val="en-US" w:eastAsia="zh-CN" w:bidi="ar"/>
        </w:rPr>
        <w:t>网络安全服务</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（一）服务标准</w:t>
      </w:r>
    </w:p>
    <w:p>
      <w:pPr>
        <w:pStyle w:val="15"/>
        <w:widowControl/>
        <w:spacing w:line="360" w:lineRule="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《中华人民共和国网络安全法》；</w:t>
      </w:r>
    </w:p>
    <w:p>
      <w:pPr>
        <w:pStyle w:val="12"/>
        <w:widowControl/>
        <w:spacing w:line="360" w:lineRule="auto"/>
        <w:rPr>
          <w:rFonts w:hint="eastAsia" w:ascii="宋体" w:hAnsi="宋体" w:eastAsia="宋体" w:cs="宋体"/>
          <w:sz w:val="24"/>
          <w:szCs w:val="24"/>
        </w:rPr>
      </w:pPr>
      <w:r>
        <w:rPr>
          <w:rFonts w:hint="eastAsia" w:ascii="宋体" w:hAnsi="宋体" w:eastAsia="宋体" w:cs="宋体"/>
          <w:sz w:val="24"/>
          <w:szCs w:val="24"/>
          <w:lang w:val="en-US"/>
        </w:rPr>
        <w:t xml:space="preserve">2. </w:t>
      </w:r>
      <w:r>
        <w:rPr>
          <w:rFonts w:hint="eastAsia" w:ascii="宋体" w:hAnsi="宋体" w:eastAsia="宋体" w:cs="宋体"/>
          <w:sz w:val="24"/>
          <w:szCs w:val="24"/>
        </w:rPr>
        <w:t>GB/T 22239-2019《信息安全技术 网络安全等级保护基本要求》；</w:t>
      </w:r>
    </w:p>
    <w:p>
      <w:pPr>
        <w:pStyle w:val="15"/>
        <w:widowControl/>
        <w:spacing w:line="360" w:lineRule="auto"/>
        <w:rPr>
          <w:rFonts w:hint="eastAsia" w:ascii="宋体" w:hAnsi="宋体" w:eastAsia="宋体" w:cs="宋体"/>
          <w:sz w:val="24"/>
          <w:szCs w:val="24"/>
          <w:lang w:val="zh-CN"/>
        </w:rPr>
      </w:pPr>
      <w:r>
        <w:rPr>
          <w:rFonts w:hint="eastAsia" w:ascii="宋体" w:hAnsi="宋体" w:eastAsia="宋体" w:cs="宋体"/>
          <w:sz w:val="24"/>
          <w:szCs w:val="24"/>
        </w:rPr>
        <w:t xml:space="preserve">3. </w:t>
      </w:r>
      <w:r>
        <w:rPr>
          <w:rFonts w:hint="eastAsia" w:ascii="宋体" w:hAnsi="宋体" w:eastAsia="宋体" w:cs="宋体"/>
          <w:sz w:val="24"/>
          <w:szCs w:val="24"/>
          <w:lang w:val="zh-CN"/>
        </w:rPr>
        <w:t>GB/T28448-2019《信息安全技术 网络安全等级保护测评要求》；</w:t>
      </w:r>
    </w:p>
    <w:p>
      <w:pPr>
        <w:pStyle w:val="15"/>
        <w:widowControl/>
        <w:spacing w:line="360" w:lineRule="auto"/>
        <w:rPr>
          <w:rFonts w:hint="eastAsia" w:ascii="宋体" w:hAnsi="宋体" w:eastAsia="宋体" w:cs="宋体"/>
          <w:sz w:val="24"/>
          <w:szCs w:val="24"/>
          <w:lang w:val="zh-CN"/>
        </w:rPr>
      </w:pPr>
      <w:r>
        <w:rPr>
          <w:rFonts w:hint="eastAsia" w:ascii="宋体" w:hAnsi="宋体" w:eastAsia="宋体" w:cs="宋体"/>
          <w:sz w:val="24"/>
          <w:szCs w:val="24"/>
        </w:rPr>
        <w:t xml:space="preserve">4. </w:t>
      </w:r>
      <w:r>
        <w:rPr>
          <w:rFonts w:hint="eastAsia" w:ascii="宋体" w:hAnsi="宋体" w:eastAsia="宋体" w:cs="宋体"/>
          <w:sz w:val="24"/>
          <w:szCs w:val="24"/>
          <w:lang w:val="zh-CN"/>
        </w:rPr>
        <w:t>GB/T28449-2018《信息安全技术 网络安全等级保护测评过程指南》；</w:t>
      </w:r>
    </w:p>
    <w:p>
      <w:pPr>
        <w:pStyle w:val="15"/>
        <w:widowControl/>
        <w:spacing w:line="360" w:lineRule="auto"/>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《信息安全等级保护管理办法》公通字 2007 [43]号；</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（二）服务原则</w:t>
      </w:r>
    </w:p>
    <w:p>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先进性原则：安全服务和形成的规划方案，在路线上应与业界的主流发展趋势相一致，保证依据此方案进行安全防护的理念具备先进性。</w:t>
      </w:r>
    </w:p>
    <w:p>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标准性原则：安全服务的选择，按照国家安全管理、安全控制、安全规程为参考依据。</w:t>
      </w:r>
    </w:p>
    <w:p>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实用性原则：具备多层次、多角度、全方位、立体化的安全保护功能。各种安全技术措施尽显其长，相互补充。当某一种或某一层保护失效时，其它仍可起到保护作用。</w:t>
      </w:r>
    </w:p>
    <w:p>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可控性原则：安全服务和安全规划的技术和解决方案，涉及的工程实施应具有可控性。</w:t>
      </w:r>
    </w:p>
    <w:p>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系统性、均衡性、综合性研究原则：安全服务从全系统出发，综合分析各种安全风险，采取相应的安全措施，并根据风险的大小，采取不同强度的安全措施。</w:t>
      </w:r>
    </w:p>
    <w:p>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可行性、可靠性原则：技术和解决方案，需在保证网络和业务系统正常运转的前提下，提供最优安全保障。</w:t>
      </w:r>
    </w:p>
    <w:p>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可扩展性原则：良好的可扩展性，能适应安全技术的快速发展和更新，能随着安全需求的变化而变化，充分保证投资的效益。</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（三）项目管理与实施保障</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对项目进行科学严格</w:t>
      </w:r>
      <w:r>
        <w:rPr>
          <w:rFonts w:hint="eastAsia" w:ascii="宋体" w:hAnsi="宋体" w:cs="宋体"/>
          <w:sz w:val="24"/>
          <w:szCs w:val="24"/>
          <w:lang w:eastAsia="zh-CN"/>
        </w:rPr>
        <w:t>地</w:t>
      </w:r>
      <w:r>
        <w:rPr>
          <w:rFonts w:hint="eastAsia" w:ascii="宋体" w:hAnsi="宋体" w:eastAsia="宋体" w:cs="宋体"/>
          <w:sz w:val="24"/>
          <w:szCs w:val="24"/>
        </w:rPr>
        <w:t>管理，通过系统计划、有序组织、科学指导和有效控制，促进项目全面顺利实施，并符合以下要求：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供应商及其服务人员应当严格执行有关国家信息安全相关标准和有关规定，提供客观、公平、公正、有效的安全服务，并承担相应的法律责任；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2供应商在对业主单位开展安全服务之前需与业主单位签订保密协议，服务过程中向业主单位借阅的文档资料应在服务结束后全部归还业主单位，未经业主单位允许，不得擅自复制、保留。</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服务工具要求：本次服务过程中应配备必要的工具、仪器/设备对信息系统进行验证测试，采用的服务工具的生产商应为正规厂商，具有一定的研发和服务能力，能够对产品进行持续更新并提供质量和安全保障。本次安全服务采用的服务工具包括但不限于：自动化渗透测试工具、日志分析工具、数据库扫描工具。</w:t>
      </w:r>
    </w:p>
    <w:p>
      <w:pPr>
        <w:spacing w:line="360" w:lineRule="auto"/>
        <w:rPr>
          <w:rFonts w:hint="eastAsia" w:ascii="宋体" w:hAnsi="宋体" w:eastAsia="宋体" w:cs="宋体"/>
          <w:b/>
          <w:bCs/>
          <w:color w:val="0D0D0D"/>
          <w:sz w:val="24"/>
          <w:szCs w:val="24"/>
        </w:rPr>
      </w:pPr>
      <w:r>
        <w:rPr>
          <w:rFonts w:hint="eastAsia" w:ascii="宋体" w:hAnsi="宋体" w:eastAsia="宋体" w:cs="宋体"/>
          <w:b/>
          <w:bCs/>
          <w:color w:val="0D0D0D"/>
          <w:sz w:val="24"/>
          <w:szCs w:val="24"/>
        </w:rPr>
        <w:t>（四）服务内容及清单</w:t>
      </w:r>
    </w:p>
    <w:p>
      <w:pPr>
        <w:pStyle w:val="2"/>
        <w:spacing w:line="360" w:lineRule="auto"/>
        <w:rPr>
          <w:rFonts w:hint="eastAsia" w:ascii="宋体" w:hAnsi="宋体" w:eastAsia="宋体" w:cs="宋体"/>
          <w:sz w:val="24"/>
          <w:szCs w:val="24"/>
        </w:rPr>
      </w:pPr>
      <w:r>
        <w:rPr>
          <w:rFonts w:hint="eastAsia" w:ascii="宋体" w:hAnsi="宋体" w:eastAsia="宋体" w:cs="宋体"/>
          <w:b/>
          <w:bCs/>
          <w:color w:val="0D0D0D"/>
          <w:sz w:val="24"/>
          <w:szCs w:val="24"/>
        </w:rPr>
        <w:t>1.服务清单</w:t>
      </w:r>
    </w:p>
    <w:tbl>
      <w:tblPr>
        <w:tblStyle w:val="18"/>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4407"/>
        <w:gridCol w:w="262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28" w:type="dxa"/>
            <w:tcBorders>
              <w:tl2br w:val="nil"/>
              <w:tr2bl w:val="nil"/>
            </w:tcBorders>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4407" w:type="dxa"/>
            <w:tcBorders>
              <w:tl2br w:val="nil"/>
              <w:tr2bl w:val="nil"/>
            </w:tcBorders>
            <w:vAlign w:val="center"/>
          </w:tcPr>
          <w:p>
            <w:pPr>
              <w:spacing w:line="360" w:lineRule="auto"/>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服务内容</w:t>
            </w:r>
          </w:p>
        </w:tc>
        <w:tc>
          <w:tcPr>
            <w:tcW w:w="2625" w:type="dxa"/>
            <w:tcBorders>
              <w:tl2br w:val="nil"/>
              <w:tr2bl w:val="nil"/>
            </w:tcBorders>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28" w:type="dxa"/>
            <w:tcBorders>
              <w:tl2br w:val="nil"/>
              <w:tr2bl w:val="nil"/>
            </w:tcBorders>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4407" w:type="dxa"/>
            <w:tcBorders>
              <w:tl2br w:val="nil"/>
              <w:tr2bl w:val="nil"/>
            </w:tcBorders>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rPr>
              <w:t>攻防演练服务</w:t>
            </w:r>
          </w:p>
        </w:tc>
        <w:tc>
          <w:tcPr>
            <w:tcW w:w="2625" w:type="dxa"/>
            <w:tcBorders>
              <w:tl2br w:val="nil"/>
              <w:tr2bl w:val="nil"/>
            </w:tcBorders>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rPr>
              <w:t>不少于2人·7天/年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28" w:type="dxa"/>
            <w:tcBorders>
              <w:tl2br w:val="nil"/>
              <w:tr2bl w:val="nil"/>
            </w:tcBorders>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2</w:t>
            </w:r>
          </w:p>
        </w:tc>
        <w:tc>
          <w:tcPr>
            <w:tcW w:w="4407" w:type="dxa"/>
            <w:tcBorders>
              <w:tl2br w:val="nil"/>
              <w:tr2bl w:val="nil"/>
            </w:tcBorders>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rPr>
              <w:t>安全巡检服务</w:t>
            </w:r>
          </w:p>
        </w:tc>
        <w:tc>
          <w:tcPr>
            <w:tcW w:w="2625" w:type="dxa"/>
            <w:tcBorders>
              <w:tl2br w:val="nil"/>
              <w:tr2bl w:val="nil"/>
            </w:tcBorders>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rPr>
              <w:t>不少于1人·1次/年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28" w:type="dxa"/>
            <w:tcBorders>
              <w:tl2br w:val="nil"/>
              <w:tr2bl w:val="nil"/>
            </w:tcBorders>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3</w:t>
            </w:r>
          </w:p>
        </w:tc>
        <w:tc>
          <w:tcPr>
            <w:tcW w:w="4407" w:type="dxa"/>
            <w:tcBorders>
              <w:tl2br w:val="nil"/>
              <w:tr2bl w:val="nil"/>
            </w:tcBorders>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rPr>
              <w:t>网络安全评估服务</w:t>
            </w:r>
          </w:p>
        </w:tc>
        <w:tc>
          <w:tcPr>
            <w:tcW w:w="2625" w:type="dxa"/>
            <w:tcBorders>
              <w:tl2br w:val="nil"/>
              <w:tr2bl w:val="nil"/>
            </w:tcBorders>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rPr>
              <w:t>不少于2人·1次/年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28" w:type="dxa"/>
            <w:tcBorders>
              <w:tl2br w:val="nil"/>
              <w:tr2bl w:val="nil"/>
            </w:tcBorders>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4</w:t>
            </w:r>
          </w:p>
        </w:tc>
        <w:tc>
          <w:tcPr>
            <w:tcW w:w="4407" w:type="dxa"/>
            <w:tcBorders>
              <w:tl2br w:val="nil"/>
              <w:tr2bl w:val="nil"/>
            </w:tcBorders>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rPr>
              <w:t>安全整改加固规划建议服务</w:t>
            </w:r>
          </w:p>
        </w:tc>
        <w:tc>
          <w:tcPr>
            <w:tcW w:w="2625" w:type="dxa"/>
            <w:tcBorders>
              <w:tl2br w:val="nil"/>
              <w:tr2bl w:val="nil"/>
            </w:tcBorders>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rPr>
              <w:t>不少于2人·1次/年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28" w:type="dxa"/>
            <w:tcBorders>
              <w:tl2br w:val="nil"/>
              <w:tr2bl w:val="nil"/>
            </w:tcBorders>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5</w:t>
            </w:r>
          </w:p>
        </w:tc>
        <w:tc>
          <w:tcPr>
            <w:tcW w:w="4407" w:type="dxa"/>
            <w:tcBorders>
              <w:tl2br w:val="nil"/>
              <w:tr2bl w:val="nil"/>
            </w:tcBorders>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rPr>
              <w:t>应急响应服务</w:t>
            </w:r>
          </w:p>
        </w:tc>
        <w:tc>
          <w:tcPr>
            <w:tcW w:w="2625" w:type="dxa"/>
            <w:tcBorders>
              <w:tl2br w:val="nil"/>
              <w:tr2bl w:val="nil"/>
            </w:tcBorders>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rPr>
              <w:t>不少于2人·1年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28" w:type="dxa"/>
            <w:tcBorders>
              <w:tl2br w:val="nil"/>
              <w:tr2bl w:val="nil"/>
            </w:tcBorders>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6</w:t>
            </w:r>
          </w:p>
        </w:tc>
        <w:tc>
          <w:tcPr>
            <w:tcW w:w="4407" w:type="dxa"/>
            <w:tcBorders>
              <w:tl2br w:val="nil"/>
              <w:tr2bl w:val="nil"/>
            </w:tcBorders>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rPr>
              <w:t>重要时期安全保障服务</w:t>
            </w:r>
          </w:p>
        </w:tc>
        <w:tc>
          <w:tcPr>
            <w:tcW w:w="2625" w:type="dxa"/>
            <w:tcBorders>
              <w:tl2br w:val="nil"/>
              <w:tr2bl w:val="nil"/>
            </w:tcBorders>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rPr>
              <w:t>不少于2人·1年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28" w:type="dxa"/>
            <w:tcBorders>
              <w:tl2br w:val="nil"/>
              <w:tr2bl w:val="nil"/>
            </w:tcBorders>
          </w:tcPr>
          <w:p>
            <w:pPr>
              <w:spacing w:line="360" w:lineRule="auto"/>
              <w:ind w:firstLine="420"/>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4407" w:type="dxa"/>
            <w:tcBorders>
              <w:tl2br w:val="nil"/>
              <w:tr2bl w:val="nil"/>
            </w:tcBorders>
            <w:vAlign w:val="center"/>
          </w:tcPr>
          <w:p>
            <w:pPr>
              <w:spacing w:line="360" w:lineRule="auto"/>
              <w:ind w:firstLine="420"/>
              <w:rPr>
                <w:rFonts w:hint="default" w:ascii="宋体" w:hAnsi="宋体" w:eastAsia="宋体" w:cs="宋体"/>
                <w:sz w:val="21"/>
                <w:szCs w:val="21"/>
                <w:lang w:val="en-US" w:eastAsia="zh-CN"/>
              </w:rPr>
            </w:pPr>
            <w:r>
              <w:rPr>
                <w:rFonts w:hint="eastAsia" w:ascii="宋体" w:hAnsi="宋体" w:cs="宋体"/>
                <w:sz w:val="21"/>
                <w:szCs w:val="21"/>
                <w:lang w:val="en-US" w:eastAsia="zh-CN"/>
              </w:rPr>
              <w:t>信息安全培训服务</w:t>
            </w:r>
          </w:p>
        </w:tc>
        <w:tc>
          <w:tcPr>
            <w:tcW w:w="2625" w:type="dxa"/>
            <w:tcBorders>
              <w:tl2br w:val="nil"/>
              <w:tr2bl w:val="nil"/>
            </w:tcBorders>
            <w:vAlign w:val="center"/>
          </w:tcPr>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不少于</w:t>
            </w:r>
            <w:r>
              <w:rPr>
                <w:rFonts w:hint="eastAsia" w:ascii="宋体" w:hAnsi="宋体" w:cs="宋体"/>
                <w:sz w:val="21"/>
                <w:szCs w:val="21"/>
                <w:lang w:val="en-US" w:eastAsia="zh-CN"/>
              </w:rPr>
              <w:t>2</w:t>
            </w:r>
            <w:r>
              <w:rPr>
                <w:rFonts w:hint="eastAsia" w:ascii="宋体" w:hAnsi="宋体" w:eastAsia="宋体" w:cs="宋体"/>
                <w:sz w:val="21"/>
                <w:szCs w:val="21"/>
              </w:rPr>
              <w:t>人·</w:t>
            </w:r>
            <w:r>
              <w:rPr>
                <w:rFonts w:hint="eastAsia" w:ascii="宋体" w:hAnsi="宋体" w:cs="宋体"/>
                <w:sz w:val="21"/>
                <w:szCs w:val="21"/>
                <w:lang w:val="en-US" w:eastAsia="zh-CN"/>
              </w:rPr>
              <w:t>2次/</w:t>
            </w:r>
            <w:r>
              <w:rPr>
                <w:rFonts w:hint="eastAsia" w:ascii="宋体" w:hAnsi="宋体" w:eastAsia="宋体" w:cs="宋体"/>
                <w:sz w:val="21"/>
                <w:szCs w:val="21"/>
              </w:rPr>
              <w:t>年</w:t>
            </w:r>
          </w:p>
        </w:tc>
      </w:tr>
    </w:tbl>
    <w:p>
      <w:pPr>
        <w:spacing w:line="360" w:lineRule="auto"/>
        <w:rPr>
          <w:rFonts w:hint="eastAsia" w:ascii="宋体" w:hAnsi="宋体" w:eastAsia="宋体" w:cs="宋体"/>
          <w:b/>
          <w:bCs/>
          <w:color w:val="0D0D0D"/>
          <w:sz w:val="24"/>
          <w:szCs w:val="24"/>
        </w:rPr>
      </w:pPr>
      <w:r>
        <w:rPr>
          <w:rFonts w:hint="eastAsia" w:ascii="宋体" w:hAnsi="宋体" w:eastAsia="宋体" w:cs="宋体"/>
          <w:b/>
          <w:bCs/>
          <w:color w:val="0D0D0D"/>
          <w:sz w:val="24"/>
          <w:szCs w:val="24"/>
        </w:rPr>
        <w:t>2.服务内容</w:t>
      </w:r>
    </w:p>
    <w:p>
      <w:pPr>
        <w:spacing w:line="360" w:lineRule="auto"/>
        <w:rPr>
          <w:rFonts w:hint="eastAsia" w:ascii="宋体" w:hAnsi="宋体" w:eastAsia="宋体" w:cs="宋体"/>
          <w:b/>
          <w:bCs/>
          <w:color w:val="0D0D0D"/>
          <w:sz w:val="24"/>
          <w:szCs w:val="24"/>
        </w:rPr>
      </w:pPr>
      <w:r>
        <w:rPr>
          <w:rFonts w:hint="eastAsia" w:ascii="宋体" w:hAnsi="宋体" w:eastAsia="宋体" w:cs="宋体"/>
          <w:b/>
          <w:bCs/>
          <w:color w:val="0D0D0D"/>
          <w:sz w:val="24"/>
          <w:szCs w:val="24"/>
        </w:rPr>
        <w:t>2.1 攻防演练服务</w:t>
      </w:r>
    </w:p>
    <w:p>
      <w:pPr>
        <w:spacing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2.1.1服务要求：在得到授权的前提下，以模拟黑客攻击的方式，对我院门户网站和指定核心业务系统</w:t>
      </w:r>
      <w:r>
        <w:rPr>
          <w:rFonts w:hint="eastAsia" w:ascii="宋体" w:hAnsi="宋体" w:cs="宋体"/>
          <w:color w:val="0D0D0D"/>
          <w:sz w:val="24"/>
          <w:szCs w:val="24"/>
          <w:lang w:val="en-US" w:eastAsia="zh-CN"/>
        </w:rPr>
        <w:t>如信息平台、HIS系统</w:t>
      </w:r>
      <w:r>
        <w:rPr>
          <w:rFonts w:hint="eastAsia" w:ascii="宋体" w:hAnsi="宋体" w:eastAsia="宋体" w:cs="宋体"/>
          <w:color w:val="0D0D0D"/>
          <w:sz w:val="24"/>
          <w:szCs w:val="24"/>
        </w:rPr>
        <w:t>的安全漏洞、安全隐患进行全面检测。</w:t>
      </w:r>
    </w:p>
    <w:p>
      <w:pPr>
        <w:spacing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2.1.2服务目标：查找网站和业务系统的安全漏洞、评估网站和业务系统的安全状态、提供漏洞修复建议。</w:t>
      </w:r>
    </w:p>
    <w:p>
      <w:pPr>
        <w:spacing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2.1.3服务成果输出：《攻防演练总结报告》。</w:t>
      </w:r>
    </w:p>
    <w:p>
      <w:pPr>
        <w:spacing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2.1.4服务工具：包括但不限于自动化渗透测试工具。</w:t>
      </w:r>
    </w:p>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b/>
          <w:bCs/>
          <w:color w:val="0D0D0D"/>
          <w:sz w:val="24"/>
          <w:szCs w:val="24"/>
        </w:rPr>
      </w:pPr>
      <w:r>
        <w:rPr>
          <w:rFonts w:hint="eastAsia" w:ascii="宋体" w:hAnsi="宋体" w:eastAsia="宋体" w:cs="宋体"/>
          <w:b/>
          <w:bCs/>
          <w:color w:val="0D0D0D"/>
          <w:sz w:val="24"/>
          <w:szCs w:val="24"/>
        </w:rPr>
        <w:t>2.2 安全巡检服务</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2.2.1 </w:t>
      </w:r>
      <w:r>
        <w:rPr>
          <w:rFonts w:hint="eastAsia" w:ascii="宋体" w:hAnsi="宋体" w:eastAsia="宋体" w:cs="宋体"/>
          <w:color w:val="0D0D0D"/>
          <w:sz w:val="24"/>
          <w:szCs w:val="24"/>
        </w:rPr>
        <w:t>服务要求：</w:t>
      </w:r>
      <w:r>
        <w:rPr>
          <w:rFonts w:hint="eastAsia" w:ascii="宋体" w:hAnsi="宋体" w:eastAsia="宋体" w:cs="宋体"/>
          <w:sz w:val="24"/>
          <w:szCs w:val="24"/>
        </w:rPr>
        <w:t>对我院所有业务系统进行安全检测</w:t>
      </w:r>
      <w:r>
        <w:rPr>
          <w:rFonts w:hint="eastAsia" w:ascii="宋体" w:hAnsi="宋体" w:eastAsia="宋体" w:cs="宋体"/>
          <w:color w:val="0D0D0D"/>
          <w:sz w:val="24"/>
          <w:szCs w:val="24"/>
        </w:rPr>
        <w:t>。</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2.2.2 </w:t>
      </w:r>
      <w:r>
        <w:rPr>
          <w:rFonts w:hint="eastAsia" w:ascii="宋体" w:hAnsi="宋体" w:eastAsia="宋体" w:cs="宋体"/>
          <w:color w:val="0D0D0D"/>
          <w:sz w:val="24"/>
          <w:szCs w:val="24"/>
        </w:rPr>
        <w:t>服务目标：提供全面的巡检服务报告，给出存在的安全风险并提供对应的修复建议。</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2.2.3 </w:t>
      </w:r>
      <w:r>
        <w:rPr>
          <w:rFonts w:hint="eastAsia" w:ascii="宋体" w:hAnsi="宋体" w:eastAsia="宋体" w:cs="宋体"/>
          <w:color w:val="0D0D0D"/>
          <w:sz w:val="24"/>
          <w:szCs w:val="24"/>
        </w:rPr>
        <w:t>服务成果输出：《安全巡检报告》。</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2.2.4 </w:t>
      </w:r>
      <w:r>
        <w:rPr>
          <w:rFonts w:hint="eastAsia" w:ascii="宋体" w:hAnsi="宋体" w:eastAsia="宋体" w:cs="宋体"/>
          <w:color w:val="0D0D0D"/>
          <w:sz w:val="24"/>
          <w:szCs w:val="24"/>
        </w:rPr>
        <w:t>服务工具：包括但不限于 日志分析工具。</w:t>
      </w:r>
    </w:p>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b/>
          <w:bCs/>
          <w:color w:val="0D0D0D"/>
          <w:sz w:val="24"/>
          <w:szCs w:val="24"/>
        </w:rPr>
      </w:pPr>
      <w:r>
        <w:rPr>
          <w:rFonts w:hint="eastAsia" w:ascii="宋体" w:hAnsi="宋体" w:eastAsia="宋体" w:cs="宋体"/>
          <w:b/>
          <w:bCs/>
          <w:color w:val="0D0D0D"/>
          <w:sz w:val="24"/>
          <w:szCs w:val="24"/>
        </w:rPr>
        <w:t>2.3网络安全评估服务</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2.3.1 </w:t>
      </w:r>
      <w:r>
        <w:rPr>
          <w:rFonts w:hint="eastAsia" w:ascii="宋体" w:hAnsi="宋体" w:eastAsia="宋体" w:cs="宋体"/>
          <w:color w:val="0D0D0D"/>
          <w:sz w:val="24"/>
          <w:szCs w:val="24"/>
        </w:rPr>
        <w:t xml:space="preserve">服务要求： </w:t>
      </w:r>
      <w:r>
        <w:rPr>
          <w:rFonts w:hint="eastAsia" w:ascii="宋体" w:hAnsi="宋体" w:eastAsia="宋体" w:cs="宋体"/>
          <w:sz w:val="24"/>
          <w:szCs w:val="24"/>
        </w:rPr>
        <w:t>对网络和业务系统的安全漏洞、安全隐患、安全风险，进行探测、识别。</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2.3.2 </w:t>
      </w:r>
      <w:r>
        <w:rPr>
          <w:rFonts w:hint="eastAsia" w:ascii="宋体" w:hAnsi="宋体" w:eastAsia="宋体" w:cs="宋体"/>
          <w:color w:val="0D0D0D"/>
          <w:sz w:val="24"/>
          <w:szCs w:val="24"/>
        </w:rPr>
        <w:t>服务目标：从风险管理角度，运用科学的方法和手段，系统地分析网络与应用系统所面临的威胁及其存在的脆弱性，评估安全事件一旦发生可能造成的危害程度，提出有针对性</w:t>
      </w:r>
      <w:r>
        <w:rPr>
          <w:rFonts w:hint="eastAsia" w:ascii="宋体" w:hAnsi="宋体" w:cs="宋体"/>
          <w:color w:val="0D0D0D"/>
          <w:sz w:val="24"/>
          <w:szCs w:val="24"/>
          <w:lang w:eastAsia="zh-CN"/>
        </w:rPr>
        <w:t>地</w:t>
      </w:r>
      <w:r>
        <w:rPr>
          <w:rFonts w:hint="eastAsia" w:ascii="宋体" w:hAnsi="宋体" w:eastAsia="宋体" w:cs="宋体"/>
          <w:color w:val="0D0D0D"/>
          <w:sz w:val="24"/>
          <w:szCs w:val="24"/>
        </w:rPr>
        <w:t>抵御威胁的防护对策和整改措施。</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2.3.3 </w:t>
      </w:r>
      <w:r>
        <w:rPr>
          <w:rFonts w:hint="eastAsia" w:ascii="宋体" w:hAnsi="宋体" w:eastAsia="宋体" w:cs="宋体"/>
          <w:color w:val="0D0D0D"/>
          <w:sz w:val="24"/>
          <w:szCs w:val="24"/>
        </w:rPr>
        <w:t>服务成果输出：《网络安全评估报告》。</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 xml:space="preserve">2.3.4 </w:t>
      </w:r>
      <w:r>
        <w:rPr>
          <w:rFonts w:hint="eastAsia" w:ascii="宋体" w:hAnsi="宋体" w:eastAsia="宋体" w:cs="宋体"/>
          <w:color w:val="0D0D0D"/>
          <w:sz w:val="24"/>
          <w:szCs w:val="24"/>
        </w:rPr>
        <w:t>服务工具：包括但不限于数据库扫描工具。</w:t>
      </w:r>
    </w:p>
    <w:p>
      <w:pPr>
        <w:spacing w:line="360" w:lineRule="auto"/>
        <w:rPr>
          <w:rFonts w:hint="eastAsia" w:ascii="宋体" w:hAnsi="宋体" w:eastAsia="宋体" w:cs="宋体"/>
          <w:b/>
          <w:bCs/>
          <w:color w:val="0D0D0D"/>
          <w:sz w:val="24"/>
          <w:szCs w:val="24"/>
        </w:rPr>
      </w:pPr>
    </w:p>
    <w:p>
      <w:pPr>
        <w:spacing w:line="360" w:lineRule="auto"/>
        <w:rPr>
          <w:rFonts w:hint="eastAsia" w:ascii="宋体" w:hAnsi="宋体" w:eastAsia="宋体" w:cs="宋体"/>
          <w:b/>
          <w:bCs/>
          <w:color w:val="0D0D0D"/>
          <w:sz w:val="24"/>
          <w:szCs w:val="24"/>
        </w:rPr>
      </w:pPr>
      <w:r>
        <w:rPr>
          <w:rFonts w:hint="eastAsia" w:ascii="宋体" w:hAnsi="宋体" w:eastAsia="宋体" w:cs="宋体"/>
          <w:b/>
          <w:bCs/>
          <w:color w:val="0D0D0D"/>
          <w:sz w:val="24"/>
          <w:szCs w:val="24"/>
        </w:rPr>
        <w:t>2.4安全整改加固规划建议服务</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2.4.1 </w:t>
      </w:r>
      <w:r>
        <w:rPr>
          <w:rFonts w:hint="eastAsia" w:ascii="宋体" w:hAnsi="宋体" w:eastAsia="宋体" w:cs="宋体"/>
          <w:color w:val="0D0D0D"/>
          <w:sz w:val="24"/>
          <w:szCs w:val="24"/>
        </w:rPr>
        <w:t>服务要求： 根据网络安全评估、网络安全巡检以及攻防演练服务，对目标系统存在的安全风险提供整改加固方案。</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2.4.2 </w:t>
      </w:r>
      <w:r>
        <w:rPr>
          <w:rFonts w:hint="eastAsia" w:ascii="宋体" w:hAnsi="宋体" w:eastAsia="宋体" w:cs="宋体"/>
          <w:color w:val="0D0D0D"/>
          <w:sz w:val="24"/>
          <w:szCs w:val="24"/>
        </w:rPr>
        <w:t>服务目标：包括但不限于系统补丁、防火墙、防病毒、危险服务、危险共享、密码安全。</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2.4.3 </w:t>
      </w:r>
      <w:r>
        <w:rPr>
          <w:rFonts w:hint="eastAsia" w:ascii="宋体" w:hAnsi="宋体" w:eastAsia="宋体" w:cs="宋体"/>
          <w:color w:val="0D0D0D"/>
          <w:sz w:val="24"/>
          <w:szCs w:val="24"/>
        </w:rPr>
        <w:t>服务成果输出：《网络</w:t>
      </w:r>
      <w:r>
        <w:rPr>
          <w:rFonts w:hint="eastAsia" w:ascii="宋体" w:hAnsi="宋体" w:cs="宋体"/>
          <w:color w:val="0D0D0D"/>
          <w:sz w:val="24"/>
          <w:szCs w:val="24"/>
          <w:lang w:val="en-US" w:eastAsia="zh-CN"/>
        </w:rPr>
        <w:t>信息系统</w:t>
      </w:r>
      <w:r>
        <w:rPr>
          <w:rFonts w:hint="eastAsia" w:ascii="宋体" w:hAnsi="宋体" w:eastAsia="宋体" w:cs="宋体"/>
          <w:color w:val="0D0D0D"/>
          <w:sz w:val="24"/>
          <w:szCs w:val="24"/>
        </w:rPr>
        <w:t>安全加固整改方案》。</w:t>
      </w:r>
    </w:p>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b/>
          <w:bCs/>
          <w:color w:val="0D0D0D"/>
          <w:sz w:val="24"/>
          <w:szCs w:val="24"/>
        </w:rPr>
      </w:pPr>
      <w:r>
        <w:rPr>
          <w:rFonts w:hint="eastAsia" w:ascii="宋体" w:hAnsi="宋体" w:eastAsia="宋体" w:cs="宋体"/>
          <w:b/>
          <w:bCs/>
          <w:color w:val="0D0D0D"/>
          <w:sz w:val="24"/>
          <w:szCs w:val="24"/>
        </w:rPr>
        <w:t>2.5应急响应服务</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2.5.1 </w:t>
      </w:r>
      <w:r>
        <w:rPr>
          <w:rFonts w:hint="eastAsia" w:ascii="宋体" w:hAnsi="宋体" w:eastAsia="宋体" w:cs="宋体"/>
          <w:color w:val="0D0D0D"/>
          <w:sz w:val="24"/>
          <w:szCs w:val="24"/>
        </w:rPr>
        <w:t>服务要求：为满足采购人发生安全事件，需要紧急协助解决问题的情况而提供的一项安全服务。</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2.5.2 </w:t>
      </w:r>
      <w:r>
        <w:rPr>
          <w:rFonts w:hint="eastAsia" w:ascii="宋体" w:hAnsi="宋体" w:eastAsia="宋体" w:cs="宋体"/>
          <w:color w:val="0D0D0D"/>
          <w:sz w:val="24"/>
          <w:szCs w:val="24"/>
        </w:rPr>
        <w:t>服务目标：当医院发生黑客入侵、系统崩溃</w:t>
      </w:r>
      <w:r>
        <w:rPr>
          <w:rFonts w:hint="eastAsia" w:ascii="宋体" w:hAnsi="宋体" w:cs="宋体"/>
          <w:color w:val="0D0D0D"/>
          <w:sz w:val="24"/>
          <w:szCs w:val="24"/>
          <w:lang w:eastAsia="zh-CN"/>
        </w:rPr>
        <w:t>或其他</w:t>
      </w:r>
      <w:r>
        <w:rPr>
          <w:rFonts w:hint="eastAsia" w:ascii="宋体" w:hAnsi="宋体" w:eastAsia="宋体" w:cs="宋体"/>
          <w:color w:val="0D0D0D"/>
          <w:sz w:val="24"/>
          <w:szCs w:val="24"/>
        </w:rPr>
        <w:t>影响业务正常运行的安全事件时，供应商在第一时间协助采购人对安全事件进行应急响应处理，协助采购</w:t>
      </w:r>
      <w:r>
        <w:rPr>
          <w:rFonts w:hint="eastAsia" w:ascii="宋体" w:hAnsi="宋体" w:cs="宋体"/>
          <w:color w:val="0D0D0D"/>
          <w:sz w:val="24"/>
          <w:szCs w:val="24"/>
          <w:lang w:eastAsia="zh-CN"/>
        </w:rPr>
        <w:t>人员</w:t>
      </w:r>
      <w:r>
        <w:rPr>
          <w:rFonts w:hint="eastAsia" w:ascii="宋体" w:hAnsi="宋体" w:eastAsia="宋体" w:cs="宋体"/>
          <w:color w:val="0D0D0D"/>
          <w:sz w:val="24"/>
          <w:szCs w:val="24"/>
        </w:rPr>
        <w:t>使网络应用系统在最短时间内恢复正常运行，协助采购人查找入侵来源。</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2.5.3 </w:t>
      </w:r>
      <w:r>
        <w:rPr>
          <w:rFonts w:hint="eastAsia" w:ascii="宋体" w:hAnsi="宋体" w:eastAsia="宋体" w:cs="宋体"/>
          <w:color w:val="0D0D0D"/>
          <w:sz w:val="24"/>
          <w:szCs w:val="24"/>
        </w:rPr>
        <w:t>服务成果输出：《应急响应报告》。</w:t>
      </w:r>
    </w:p>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b/>
          <w:bCs/>
          <w:color w:val="0D0D0D"/>
          <w:sz w:val="24"/>
          <w:szCs w:val="24"/>
        </w:rPr>
      </w:pPr>
      <w:bookmarkStart w:id="2" w:name="_Hlk86244224"/>
      <w:r>
        <w:rPr>
          <w:rFonts w:hint="eastAsia" w:ascii="宋体" w:hAnsi="宋体" w:eastAsia="宋体" w:cs="宋体"/>
          <w:b/>
          <w:bCs/>
          <w:color w:val="0D0D0D"/>
          <w:sz w:val="24"/>
          <w:szCs w:val="24"/>
        </w:rPr>
        <w:t>2.6 重要时期安全保障</w:t>
      </w:r>
      <w:bookmarkEnd w:id="2"/>
      <w:r>
        <w:rPr>
          <w:rFonts w:hint="eastAsia" w:ascii="宋体" w:hAnsi="宋体" w:eastAsia="宋体" w:cs="宋体"/>
          <w:b/>
          <w:bCs/>
          <w:color w:val="0D0D0D"/>
          <w:sz w:val="24"/>
          <w:szCs w:val="24"/>
        </w:rPr>
        <w:t>服务</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2.6.1 </w:t>
      </w:r>
      <w:r>
        <w:rPr>
          <w:rFonts w:hint="eastAsia" w:ascii="宋体" w:hAnsi="宋体" w:eastAsia="宋体" w:cs="宋体"/>
          <w:color w:val="0D0D0D"/>
          <w:sz w:val="24"/>
          <w:szCs w:val="24"/>
        </w:rPr>
        <w:t>服务要求：在重大会议、节假日</w:t>
      </w:r>
      <w:r>
        <w:rPr>
          <w:rFonts w:hint="eastAsia" w:ascii="宋体" w:hAnsi="宋体" w:cs="宋体"/>
          <w:color w:val="0D0D0D"/>
          <w:sz w:val="24"/>
          <w:szCs w:val="24"/>
          <w:lang w:eastAsia="zh-CN"/>
        </w:rPr>
        <w:t>、</w:t>
      </w:r>
      <w:r>
        <w:rPr>
          <w:rFonts w:hint="eastAsia" w:ascii="宋体" w:hAnsi="宋体" w:cs="宋体"/>
          <w:color w:val="0D0D0D"/>
          <w:sz w:val="24"/>
          <w:szCs w:val="24"/>
          <w:lang w:val="en-US" w:eastAsia="zh-CN"/>
        </w:rPr>
        <w:t>市上统一网络信息安全攻防演练</w:t>
      </w:r>
      <w:r>
        <w:rPr>
          <w:rFonts w:hint="eastAsia" w:ascii="宋体" w:hAnsi="宋体" w:eastAsia="宋体" w:cs="宋体"/>
          <w:color w:val="0D0D0D"/>
          <w:sz w:val="24"/>
          <w:szCs w:val="24"/>
        </w:rPr>
        <w:t>等特殊时期内，供应商派出安全攻防经验丰富的安全专家，协助对目标系统进行远程安全值守和保障。</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2.6.2 </w:t>
      </w:r>
      <w:r>
        <w:rPr>
          <w:rFonts w:hint="eastAsia" w:ascii="宋体" w:hAnsi="宋体" w:eastAsia="宋体" w:cs="宋体"/>
          <w:color w:val="0D0D0D"/>
          <w:sz w:val="24"/>
          <w:szCs w:val="24"/>
        </w:rPr>
        <w:t>服务目标：对业务系统的安全状况进行实时监控和日志分析。</w:t>
      </w:r>
    </w:p>
    <w:p>
      <w:pPr>
        <w:spacing w:line="360" w:lineRule="auto"/>
        <w:rPr>
          <w:rFonts w:hint="eastAsia" w:ascii="宋体" w:hAnsi="宋体" w:eastAsia="宋体" w:cs="宋体"/>
          <w:color w:val="0D0D0D"/>
          <w:sz w:val="24"/>
          <w:szCs w:val="24"/>
        </w:rPr>
      </w:pPr>
      <w:r>
        <w:rPr>
          <w:rFonts w:hint="eastAsia" w:ascii="宋体" w:hAnsi="宋体" w:eastAsia="宋体" w:cs="宋体"/>
          <w:sz w:val="24"/>
          <w:szCs w:val="24"/>
        </w:rPr>
        <w:t xml:space="preserve">2.6.3 </w:t>
      </w:r>
      <w:r>
        <w:rPr>
          <w:rFonts w:hint="eastAsia" w:ascii="宋体" w:hAnsi="宋体" w:eastAsia="宋体" w:cs="宋体"/>
          <w:color w:val="0D0D0D"/>
          <w:sz w:val="24"/>
          <w:szCs w:val="24"/>
        </w:rPr>
        <w:t>服务成果输出：《重要时期安全保障报告》。</w:t>
      </w:r>
    </w:p>
    <w:p>
      <w:pPr>
        <w:spacing w:line="360" w:lineRule="auto"/>
        <w:rPr>
          <w:rFonts w:hint="default" w:ascii="宋体" w:hAnsi="宋体" w:eastAsia="宋体" w:cs="宋体"/>
          <w:b/>
          <w:bCs/>
          <w:color w:val="0D0D0D"/>
          <w:sz w:val="24"/>
          <w:szCs w:val="24"/>
          <w:lang w:val="en-US" w:eastAsia="zh-CN"/>
        </w:rPr>
      </w:pPr>
      <w:r>
        <w:rPr>
          <w:rFonts w:hint="eastAsia" w:ascii="宋体" w:hAnsi="宋体" w:eastAsia="宋体" w:cs="宋体"/>
          <w:b/>
          <w:bCs/>
          <w:color w:val="0D0D0D"/>
          <w:sz w:val="24"/>
          <w:szCs w:val="24"/>
        </w:rPr>
        <w:t>2.</w:t>
      </w:r>
      <w:r>
        <w:rPr>
          <w:rFonts w:hint="eastAsia" w:ascii="宋体" w:hAnsi="宋体" w:cs="宋体"/>
          <w:b/>
          <w:bCs/>
          <w:color w:val="0D0D0D"/>
          <w:sz w:val="24"/>
          <w:szCs w:val="24"/>
          <w:lang w:val="en-US" w:eastAsia="zh-CN"/>
        </w:rPr>
        <w:t>7</w:t>
      </w:r>
      <w:r>
        <w:rPr>
          <w:rFonts w:hint="eastAsia" w:ascii="宋体" w:hAnsi="宋体" w:eastAsia="宋体" w:cs="宋体"/>
          <w:b/>
          <w:bCs/>
          <w:color w:val="0D0D0D"/>
          <w:sz w:val="24"/>
          <w:szCs w:val="24"/>
        </w:rPr>
        <w:t xml:space="preserve"> </w:t>
      </w:r>
      <w:r>
        <w:rPr>
          <w:rFonts w:hint="eastAsia" w:ascii="宋体" w:hAnsi="宋体" w:cs="宋体"/>
          <w:b/>
          <w:bCs/>
          <w:color w:val="0D0D0D"/>
          <w:sz w:val="24"/>
          <w:szCs w:val="24"/>
          <w:lang w:val="en-US" w:eastAsia="zh-CN"/>
        </w:rPr>
        <w:t>信息安全培训服务</w:t>
      </w:r>
    </w:p>
    <w:p>
      <w:pPr>
        <w:pStyle w:val="2"/>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2.7.1 对信息科室及相关科室人员进行网络信息安全培训，每年不少于两次，服务输入成果为《网络信息安全培训报告》</w:t>
      </w: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default" w:ascii="宋体" w:hAnsi="宋体" w:eastAsia="宋体" w:cs="宋体"/>
          <w:b w:val="0"/>
          <w:bCs w:val="0"/>
          <w:color w:val="auto"/>
          <w:kern w:val="2"/>
          <w:sz w:val="22"/>
          <w:szCs w:val="22"/>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附件3：报价时考虑的商务因素</w:t>
      </w:r>
    </w:p>
    <w:tbl>
      <w:tblPr>
        <w:tblStyle w:val="17"/>
        <w:tblW w:w="4984"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690"/>
        <w:gridCol w:w="780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04" w:hRule="atLeast"/>
        </w:trPr>
        <w:tc>
          <w:tcPr>
            <w:tcW w:w="406" w:type="pct"/>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4593" w:type="pct"/>
            <w:noWrap w:val="0"/>
            <w:vAlign w:val="center"/>
          </w:tcPr>
          <w:p>
            <w:pPr>
              <w:spacing w:line="400" w:lineRule="exact"/>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软件运维期：软件自验收合格生效日起不少于1年，运维期内，如遇软件产品升级、改版，应提供更新、升级服务，所需费用包含在投标报价中。</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04" w:hRule="atLeast"/>
        </w:trPr>
        <w:tc>
          <w:tcPr>
            <w:tcW w:w="406" w:type="pct"/>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2</w:t>
            </w:r>
          </w:p>
        </w:tc>
        <w:tc>
          <w:tcPr>
            <w:tcW w:w="4593" w:type="pct"/>
            <w:noWrap w:val="0"/>
            <w:vAlign w:val="center"/>
          </w:tcPr>
          <w:p>
            <w:pPr>
              <w:spacing w:line="400" w:lineRule="exact"/>
              <w:jc w:val="left"/>
              <w:rPr>
                <w:rFonts w:hint="eastAsia" w:ascii="宋体" w:hAnsi="宋体" w:eastAsia="宋体" w:cs="宋体"/>
                <w:b w:val="0"/>
                <w:bCs w:val="0"/>
                <w:color w:val="auto"/>
                <w:sz w:val="24"/>
                <w:szCs w:val="24"/>
              </w:rPr>
            </w:pPr>
            <w:r>
              <w:rPr>
                <w:rFonts w:hint="eastAsia" w:ascii="宋体" w:hAnsi="宋体" w:cs="宋体"/>
                <w:color w:val="auto"/>
                <w:sz w:val="24"/>
                <w:lang w:val="en-US" w:eastAsia="zh-CN"/>
              </w:rPr>
              <w:t>硬件质保期（如涉及）：</w:t>
            </w:r>
            <w:r>
              <w:rPr>
                <w:rFonts w:hint="eastAsia" w:ascii="宋体" w:hAnsi="宋体" w:cs="宋体"/>
                <w:color w:val="auto"/>
                <w:sz w:val="24"/>
              </w:rPr>
              <w:t>验收合格生效日起</w:t>
            </w:r>
            <w:r>
              <w:rPr>
                <w:rFonts w:hint="eastAsia" w:ascii="宋体" w:hAnsi="宋体" w:cs="宋体"/>
                <w:color w:val="auto"/>
                <w:sz w:val="24"/>
                <w:lang w:val="en-US" w:eastAsia="zh-CN"/>
              </w:rPr>
              <w:t>不少于</w:t>
            </w:r>
            <w:r>
              <w:rPr>
                <w:rFonts w:hint="eastAsia" w:ascii="宋体" w:hAnsi="宋体" w:cs="宋体"/>
                <w:color w:val="auto"/>
                <w:sz w:val="24"/>
              </w:rPr>
              <w:t>1年</w:t>
            </w:r>
            <w:r>
              <w:rPr>
                <w:rFonts w:hint="eastAsia" w:ascii="宋体" w:hAnsi="宋体" w:cs="宋体"/>
                <w:color w:val="auto"/>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97" w:hRule="atLeast"/>
        </w:trPr>
        <w:tc>
          <w:tcPr>
            <w:tcW w:w="406" w:type="pct"/>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3</w:t>
            </w:r>
          </w:p>
        </w:tc>
        <w:tc>
          <w:tcPr>
            <w:tcW w:w="4593" w:type="pct"/>
            <w:noWrap w:val="0"/>
            <w:vAlign w:val="center"/>
          </w:tcPr>
          <w:p>
            <w:pPr>
              <w:spacing w:line="400" w:lineRule="exact"/>
              <w:jc w:val="left"/>
              <w:rPr>
                <w:rFonts w:hint="eastAsia" w:ascii="宋体" w:hAnsi="宋体" w:eastAsia="宋体" w:cs="宋体"/>
                <w:b w:val="0"/>
                <w:bCs w:val="0"/>
                <w:color w:val="auto"/>
                <w:sz w:val="24"/>
                <w:szCs w:val="24"/>
              </w:rPr>
            </w:pPr>
            <w:r>
              <w:rPr>
                <w:rFonts w:hint="eastAsia" w:ascii="宋体" w:hAnsi="宋体" w:cs="宋体"/>
                <w:b/>
                <w:bCs/>
                <w:color w:val="auto"/>
                <w:kern w:val="0"/>
                <w:sz w:val="24"/>
              </w:rPr>
              <w:t>报价要求：</w:t>
            </w:r>
            <w:r>
              <w:rPr>
                <w:rFonts w:hint="eastAsia" w:ascii="宋体" w:hAnsi="宋体" w:cs="宋体"/>
                <w:color w:val="auto"/>
                <w:kern w:val="0"/>
                <w:sz w:val="24"/>
              </w:rPr>
              <w:t>供应商的报价是供应商响应本招标项目要求的全部工作内容的价格体现，包括供应商完成本项目所需的一切费用，采购人不再额外支付任何费用。投标报价包含且不限于以下内容：在实施及质保期间为确保系统正常运行的人工费（含驻场人员的工资社保差旅等所有费用）及系统运维费；实施及质保期间对采购人数据迁移工作（如有）的协助支持费用；培训费；税金；验收（若涉及第三方检测机构或人员检测）等所有在实施质保期间所产生的必要费用。</w:t>
            </w:r>
          </w:p>
        </w:tc>
      </w:tr>
    </w:tbl>
    <w:p>
      <w:pPr>
        <w:widowControl/>
        <w:spacing w:line="360" w:lineRule="atLeast"/>
        <w:jc w:val="left"/>
        <w:outlineLvl w:val="1"/>
        <w:rPr>
          <w:rFonts w:hint="eastAsia" w:ascii="宋体" w:hAnsi="宋体" w:cs="宋体"/>
          <w:b/>
          <w:color w:val="auto"/>
          <w:sz w:val="24"/>
          <w:szCs w:val="24"/>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eastAsia" w:ascii="宋体" w:hAnsi="宋体" w:cs="宋体"/>
          <w:b/>
          <w:bCs/>
          <w:color w:val="auto"/>
          <w:kern w:val="2"/>
          <w:sz w:val="24"/>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2982"/>
          <w:tab w:val="center" w:pos="6678"/>
        </w:tabs>
        <w:jc w:val="left"/>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附件4：依法获取采购文件及项目报名登记表</w:t>
      </w:r>
    </w:p>
    <w:p>
      <w:pPr>
        <w:tabs>
          <w:tab w:val="left" w:pos="2982"/>
          <w:tab w:val="center" w:pos="6678"/>
        </w:tabs>
        <w:jc w:val="center"/>
        <w:rPr>
          <w:rFonts w:hint="eastAsia"/>
          <w:b/>
          <w:sz w:val="40"/>
          <w:szCs w:val="40"/>
        </w:rPr>
      </w:pPr>
      <w:r>
        <w:rPr>
          <w:rFonts w:hint="eastAsia"/>
          <w:b/>
          <w:sz w:val="40"/>
          <w:szCs w:val="40"/>
        </w:rPr>
        <w:t>依法获取采购文件及项目报名登记表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widowControl/>
        <w:tabs>
          <w:tab w:val="left" w:pos="1620"/>
        </w:tabs>
        <w:wordWrap w:val="0"/>
        <w:spacing w:line="360" w:lineRule="auto"/>
        <w:ind w:right="-197" w:rightChars="-94"/>
        <w:jc w:val="left"/>
        <w:rPr>
          <w:rFonts w:hint="eastAsia" w:ascii="宋体" w:hAnsi="宋体"/>
          <w:b/>
          <w:bCs/>
          <w:color w:val="000000"/>
          <w:sz w:val="24"/>
          <w:szCs w:val="24"/>
          <w:lang w:val="en-US" w:eastAsia="zh-CN"/>
        </w:rPr>
      </w:pPr>
      <w:r>
        <w:rPr>
          <w:rFonts w:hint="eastAsia" w:ascii="宋体" w:hAnsi="宋体"/>
          <w:b/>
          <w:sz w:val="24"/>
        </w:rPr>
        <w:t>项目名称：</w:t>
      </w:r>
    </w:p>
    <w:tbl>
      <w:tblPr>
        <w:tblStyle w:val="17"/>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85" w:type="dxa"/>
            <w:noWrap w:val="0"/>
            <w:vAlign w:val="center"/>
          </w:tcPr>
          <w:p>
            <w:pPr>
              <w:jc w:val="center"/>
              <w:rPr>
                <w:rFonts w:hint="eastAsia" w:ascii="宋体" w:hAnsi="宋体"/>
                <w:b/>
                <w:sz w:val="24"/>
              </w:rPr>
            </w:pPr>
            <w:r>
              <w:rPr>
                <w:rFonts w:hint="eastAsia" w:ascii="宋体" w:hAnsi="宋体"/>
                <w:b/>
                <w:sz w:val="24"/>
              </w:rPr>
              <w:t>单位全称</w:t>
            </w:r>
          </w:p>
        </w:tc>
        <w:tc>
          <w:tcPr>
            <w:tcW w:w="11907" w:type="dxa"/>
            <w:gridSpan w:val="8"/>
            <w:noWrap w:val="0"/>
            <w:vAlign w:val="center"/>
          </w:tcPr>
          <w:p>
            <w:pPr>
              <w:jc w:val="both"/>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85" w:type="dxa"/>
            <w:noWrap w:val="0"/>
            <w:vAlign w:val="center"/>
          </w:tcPr>
          <w:p>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pPr>
              <w:jc w:val="center"/>
              <w:rPr>
                <w:rFonts w:hint="eastAsia" w:ascii="宋体" w:hAnsi="宋体"/>
                <w:b/>
                <w:sz w:val="24"/>
              </w:rPr>
            </w:pPr>
          </w:p>
        </w:tc>
        <w:tc>
          <w:tcPr>
            <w:tcW w:w="3969" w:type="dxa"/>
            <w:gridSpan w:val="3"/>
            <w:tcBorders>
              <w:right w:val="single" w:color="auto" w:sz="4" w:space="0"/>
            </w:tcBorders>
            <w:noWrap w:val="0"/>
            <w:vAlign w:val="center"/>
          </w:tcPr>
          <w:p>
            <w:pPr>
              <w:jc w:val="center"/>
              <w:rPr>
                <w:rFonts w:hint="default" w:ascii="宋体" w:hAnsi="宋体" w:eastAsia="宋体"/>
                <w:b/>
                <w:sz w:val="24"/>
                <w:lang w:val="en-US" w:eastAsia="zh-CN"/>
              </w:rPr>
            </w:pPr>
            <w:r>
              <w:rPr>
                <w:rFonts w:hint="eastAsia" w:ascii="宋体" w:hAnsi="宋体"/>
                <w:b/>
                <w:sz w:val="24"/>
                <w:lang w:val="en-US" w:eastAsia="zh-CN"/>
              </w:rPr>
              <w:t>推荐产品品目号及产品名称</w:t>
            </w:r>
          </w:p>
        </w:tc>
        <w:tc>
          <w:tcPr>
            <w:tcW w:w="3969" w:type="dxa"/>
            <w:gridSpan w:val="2"/>
            <w:tcBorders>
              <w:right w:val="single" w:color="auto" w:sz="4" w:space="0"/>
            </w:tcBorders>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购买单位代表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85" w:type="dxa"/>
            <w:noWrap w:val="0"/>
            <w:vAlign w:val="center"/>
          </w:tcPr>
          <w:p>
            <w:pPr>
              <w:jc w:val="center"/>
              <w:rPr>
                <w:rFonts w:hint="eastAsia" w:ascii="宋体" w:hAnsi="宋体"/>
                <w:b/>
                <w:sz w:val="24"/>
              </w:rPr>
            </w:pPr>
          </w:p>
        </w:tc>
        <w:tc>
          <w:tcPr>
            <w:tcW w:w="1694" w:type="dxa"/>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85" w:type="dxa"/>
            <w:noWrap w:val="0"/>
            <w:vAlign w:val="top"/>
          </w:tcPr>
          <w:p>
            <w:pPr>
              <w:jc w:val="center"/>
              <w:rPr>
                <w:rFonts w:hint="eastAsia" w:ascii="宋体" w:hAnsi="宋体"/>
                <w:b/>
                <w:sz w:val="24"/>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892" w:type="dxa"/>
            <w:gridSpan w:val="9"/>
            <w:noWrap w:val="0"/>
            <w:vAlign w:val="top"/>
          </w:tcPr>
          <w:p>
            <w:pPr>
              <w:rPr>
                <w:rFonts w:hint="eastAsia" w:ascii="宋体" w:hAnsi="宋体"/>
                <w:b/>
                <w:kern w:val="2"/>
                <w:sz w:val="24"/>
                <w:szCs w:val="24"/>
                <w:lang w:val="en-US" w:eastAsia="zh-CN" w:bidi="ar-SA"/>
              </w:rPr>
            </w:pPr>
            <w:r>
              <w:rPr>
                <w:rFonts w:hint="eastAsia" w:ascii="宋体" w:hAnsi="宋体"/>
                <w:b/>
                <w:kern w:val="2"/>
                <w:sz w:val="24"/>
                <w:szCs w:val="24"/>
                <w:lang w:val="en-US" w:eastAsia="zh-CN" w:bidi="ar-SA"/>
              </w:rPr>
              <w:t>备注：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default" w:ascii="宋体" w:hAnsi="宋体"/>
                <w:b/>
                <w:sz w:val="24"/>
                <w:lang w:val="en-US" w:eastAsia="zh-CN"/>
              </w:rPr>
            </w:pPr>
            <w:r>
              <w:rPr>
                <w:rFonts w:hint="eastAsia" w:ascii="宋体" w:hAnsi="宋体"/>
                <w:b/>
                <w:sz w:val="24"/>
                <w:lang w:val="en-US" w:eastAsia="zh-CN"/>
              </w:rPr>
              <w:t>供应商须填写完成本表后加盖公章并扫描后在报名截止时间前以电子邮件方式传至指定邮箱405116906@qq.com后联系采购单位确认报名（本表中的投标单位</w:t>
            </w:r>
            <w:r>
              <w:rPr>
                <w:rFonts w:hint="eastAsia" w:ascii="宋体" w:hAnsi="宋体"/>
                <w:b/>
                <w:sz w:val="24"/>
              </w:rPr>
              <w:t>全称</w:t>
            </w:r>
            <w:r>
              <w:rPr>
                <w:rFonts w:hint="eastAsia" w:ascii="宋体" w:hAnsi="宋体"/>
                <w:b/>
                <w:sz w:val="24"/>
                <w:lang w:val="en-US" w:eastAsia="zh-CN"/>
              </w:rPr>
              <w:t>必须与公章名称保持一致，否则视为无效报名），报名截止时间以后收到的报名信息为无效报名信息。</w:t>
            </w:r>
          </w:p>
          <w:p>
            <w:pPr>
              <w:pStyle w:val="2"/>
              <w:numPr>
                <w:ilvl w:val="0"/>
                <w:numId w:val="0"/>
              </w:numPr>
              <w:ind w:firstLine="481"/>
              <w:rPr>
                <w:rFonts w:hint="default" w:ascii="宋体" w:hAnsi="宋体"/>
                <w:b/>
                <w:sz w:val="24"/>
                <w:lang w:val="en-US" w:eastAsia="zh-CN"/>
              </w:rPr>
            </w:pPr>
          </w:p>
        </w:tc>
      </w:tr>
    </w:tbl>
    <w:p/>
    <w:p>
      <w:pPr>
        <w:pStyle w:val="27"/>
        <w:ind w:left="0" w:leftChars="0" w:firstLine="0" w:firstLineChars="0"/>
        <w:rPr>
          <w:rFonts w:hint="eastAsia" w:ascii="宋体" w:hAnsi="宋体" w:cs="宋体"/>
          <w:b/>
          <w:bCs/>
          <w:color w:val="auto"/>
          <w:kern w:val="2"/>
          <w:sz w:val="24"/>
          <w:szCs w:val="24"/>
          <w:lang w:val="en-US" w:eastAsia="zh-CN" w:bidi="ar-SA"/>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7"/>
        <w:ind w:left="0" w:leftChars="0" w:firstLine="0" w:firstLineChars="0"/>
        <w:rPr>
          <w:rFonts w:hint="eastAsia" w:ascii="宋体" w:hAnsi="宋体" w:cs="宋体"/>
          <w:b/>
          <w:bCs/>
          <w:color w:val="auto"/>
          <w:kern w:val="2"/>
          <w:sz w:val="24"/>
          <w:szCs w:val="24"/>
          <w:lang w:val="en-US" w:eastAsia="zh-CN" w:bidi="ar-SA"/>
        </w:rPr>
      </w:pPr>
    </w:p>
    <w:p>
      <w:pPr>
        <w:pStyle w:val="27"/>
        <w:ind w:left="0" w:leftChars="0" w:firstLine="0" w:firstLineChars="0"/>
        <w:rPr>
          <w:rFonts w:hint="default"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附件5：响应文件格式：</w:t>
      </w:r>
    </w:p>
    <w:p>
      <w:pPr>
        <w:pStyle w:val="27"/>
        <w:ind w:left="0" w:leftChars="0" w:firstLine="0" w:firstLineChars="0"/>
        <w:rPr>
          <w:rFonts w:hint="default" w:ascii="宋体" w:hAnsi="宋体" w:eastAsia="宋体" w:cs="宋体"/>
          <w:b w:val="0"/>
          <w:bCs w:val="0"/>
          <w:color w:val="auto"/>
          <w:kern w:val="2"/>
          <w:sz w:val="22"/>
          <w:szCs w:val="22"/>
          <w:lang w:val="en-US" w:eastAsia="zh-CN" w:bidi="ar-SA"/>
        </w:rPr>
      </w:pPr>
    </w:p>
    <w:p>
      <w:pPr>
        <w:tabs>
          <w:tab w:val="left" w:pos="900"/>
        </w:tabs>
        <w:spacing w:line="360" w:lineRule="auto"/>
        <w:ind w:firstLine="2811" w:firstLineChars="700"/>
        <w:rPr>
          <w:rFonts w:hint="eastAsia" w:ascii="宋体" w:hAnsi="宋体" w:cs="宋体"/>
          <w:b/>
          <w:color w:val="auto"/>
          <w:sz w:val="40"/>
          <w:szCs w:val="40"/>
        </w:rPr>
      </w:pPr>
    </w:p>
    <w:p>
      <w:pPr>
        <w:tabs>
          <w:tab w:val="left" w:pos="900"/>
        </w:tabs>
        <w:spacing w:line="360" w:lineRule="auto"/>
        <w:ind w:firstLine="2811" w:firstLineChars="700"/>
        <w:rPr>
          <w:rFonts w:hint="eastAsia" w:ascii="宋体" w:hAnsi="宋体" w:cs="宋体"/>
          <w:b/>
          <w:color w:val="auto"/>
          <w:sz w:val="40"/>
          <w:szCs w:val="40"/>
        </w:rPr>
      </w:pPr>
      <w:r>
        <w:rPr>
          <w:rFonts w:hint="eastAsia" w:ascii="宋体" w:hAnsi="宋体" w:cs="宋体"/>
          <w:b/>
          <w:color w:val="auto"/>
          <w:sz w:val="40"/>
          <w:szCs w:val="40"/>
        </w:rPr>
        <w:t xml:space="preserve"> 响应文件格式</w:t>
      </w:r>
    </w:p>
    <w:p>
      <w:pPr>
        <w:spacing w:line="360" w:lineRule="auto"/>
        <w:rPr>
          <w:rFonts w:hint="eastAsia" w:ascii="宋体" w:hAnsi="宋体" w:cs="宋体"/>
          <w:b/>
          <w:color w:val="auto"/>
          <w:sz w:val="28"/>
          <w:szCs w:val="28"/>
        </w:rPr>
      </w:pPr>
      <w:r>
        <w:rPr>
          <w:rFonts w:hint="eastAsia" w:ascii="宋体" w:hAnsi="宋体" w:cs="宋体"/>
          <w:b/>
          <w:color w:val="auto"/>
          <w:sz w:val="28"/>
          <w:szCs w:val="28"/>
        </w:rPr>
        <w:t>格式1-1</w:t>
      </w:r>
    </w:p>
    <w:p>
      <w:pPr>
        <w:spacing w:line="360" w:lineRule="auto"/>
        <w:rPr>
          <w:rFonts w:hint="eastAsia" w:ascii="宋体" w:hAnsi="宋体" w:cs="宋体"/>
          <w:b/>
          <w:color w:val="auto"/>
          <w:sz w:val="28"/>
          <w:szCs w:val="28"/>
        </w:rPr>
      </w:pPr>
      <w:r>
        <w:rPr>
          <w:rFonts w:hint="eastAsia" w:ascii="宋体" w:hAnsi="宋体" w:cs="宋体"/>
          <w:b/>
          <w:color w:val="auto"/>
          <w:sz w:val="28"/>
          <w:szCs w:val="28"/>
        </w:rPr>
        <w:t>封面：</w:t>
      </w:r>
    </w:p>
    <w:p>
      <w:pPr>
        <w:spacing w:line="360" w:lineRule="auto"/>
        <w:jc w:val="right"/>
        <w:rPr>
          <w:rFonts w:hint="eastAsia" w:ascii="宋体" w:hAnsi="宋体" w:cs="宋体"/>
          <w:b/>
          <w:color w:val="auto"/>
          <w:sz w:val="40"/>
          <w:szCs w:val="40"/>
        </w:rPr>
      </w:pPr>
      <w:r>
        <w:rPr>
          <w:rFonts w:hint="eastAsia" w:ascii="宋体" w:hAnsi="宋体" w:cs="宋体"/>
          <w:b/>
          <w:color w:val="auto"/>
          <w:sz w:val="40"/>
          <w:szCs w:val="40"/>
        </w:rPr>
        <w:t>（正本/副本）</w:t>
      </w:r>
    </w:p>
    <w:p>
      <w:pPr>
        <w:spacing w:line="360" w:lineRule="auto"/>
        <w:jc w:val="center"/>
        <w:rPr>
          <w:rFonts w:hint="eastAsia" w:ascii="宋体" w:hAnsi="宋体" w:cs="宋体"/>
          <w:b/>
          <w:color w:val="auto"/>
          <w:sz w:val="44"/>
          <w:szCs w:val="44"/>
        </w:rPr>
      </w:pPr>
    </w:p>
    <w:p>
      <w:pPr>
        <w:spacing w:line="360" w:lineRule="auto"/>
        <w:jc w:val="center"/>
        <w:rPr>
          <w:rFonts w:hint="eastAsia" w:ascii="宋体" w:hAnsi="宋体" w:eastAsia="宋体" w:cs="宋体"/>
          <w:b/>
          <w:color w:val="auto"/>
          <w:sz w:val="56"/>
          <w:szCs w:val="56"/>
        </w:rPr>
      </w:pPr>
      <w:r>
        <w:rPr>
          <w:rFonts w:hint="eastAsia" w:ascii="宋体" w:hAnsi="宋体" w:cs="宋体"/>
          <w:b/>
          <w:color w:val="auto"/>
          <w:sz w:val="56"/>
          <w:szCs w:val="56"/>
          <w:lang w:eastAsia="zh-CN"/>
        </w:rPr>
        <w:t>古蔺县中医医院信息科</w:t>
      </w:r>
      <w:r>
        <w:rPr>
          <w:rFonts w:hint="eastAsia" w:ascii="宋体" w:hAnsi="宋体" w:eastAsia="宋体" w:cs="宋体"/>
          <w:b/>
          <w:color w:val="auto"/>
          <w:sz w:val="56"/>
          <w:szCs w:val="56"/>
          <w:lang w:eastAsia="zh-CN"/>
        </w:rPr>
        <w:t>2024年</w:t>
      </w:r>
      <w:r>
        <w:rPr>
          <w:rFonts w:hint="eastAsia" w:ascii="宋体" w:hAnsi="宋体" w:cs="宋体"/>
          <w:b/>
          <w:color w:val="auto"/>
          <w:sz w:val="56"/>
          <w:szCs w:val="56"/>
          <w:lang w:eastAsia="zh-CN"/>
        </w:rPr>
        <w:t>信息系统三级等保测评项目</w:t>
      </w:r>
      <w:r>
        <w:rPr>
          <w:rFonts w:hint="eastAsia" w:ascii="宋体" w:hAnsi="宋体" w:eastAsia="宋体" w:cs="宋体"/>
          <w:b/>
          <w:color w:val="auto"/>
          <w:sz w:val="56"/>
          <w:szCs w:val="56"/>
          <w:lang w:eastAsia="zh-CN"/>
        </w:rPr>
        <w:t>市场</w:t>
      </w:r>
      <w:r>
        <w:rPr>
          <w:rFonts w:hint="eastAsia" w:ascii="宋体" w:hAnsi="宋体" w:eastAsia="宋体" w:cs="宋体"/>
          <w:b/>
          <w:color w:val="auto"/>
          <w:sz w:val="56"/>
          <w:szCs w:val="56"/>
          <w:lang w:val="en-US" w:eastAsia="zh-CN"/>
        </w:rPr>
        <w:t>询价</w:t>
      </w:r>
    </w:p>
    <w:p>
      <w:pPr>
        <w:spacing w:line="360" w:lineRule="auto"/>
        <w:jc w:val="center"/>
        <w:rPr>
          <w:rFonts w:hint="eastAsia" w:ascii="宋体" w:hAnsi="宋体" w:cs="宋体"/>
          <w:b/>
          <w:color w:val="auto"/>
          <w:sz w:val="44"/>
          <w:szCs w:val="44"/>
        </w:rPr>
      </w:pPr>
    </w:p>
    <w:p>
      <w:pPr>
        <w:spacing w:line="360" w:lineRule="auto"/>
        <w:jc w:val="center"/>
        <w:rPr>
          <w:rFonts w:hint="eastAsia" w:ascii="宋体" w:hAnsi="宋体" w:cs="宋体"/>
          <w:b/>
          <w:color w:val="auto"/>
          <w:sz w:val="56"/>
          <w:szCs w:val="56"/>
        </w:rPr>
      </w:pPr>
      <w:r>
        <w:rPr>
          <w:rFonts w:hint="eastAsia" w:ascii="宋体" w:hAnsi="宋体" w:cs="宋体"/>
          <w:b/>
          <w:color w:val="auto"/>
          <w:sz w:val="56"/>
          <w:szCs w:val="56"/>
        </w:rPr>
        <w:t>响</w:t>
      </w:r>
      <w:r>
        <w:rPr>
          <w:rFonts w:hint="eastAsia" w:ascii="宋体" w:hAnsi="宋体" w:cs="宋体"/>
          <w:b/>
          <w:color w:val="auto"/>
          <w:sz w:val="56"/>
          <w:szCs w:val="56"/>
          <w:lang w:val="en-US" w:eastAsia="zh-CN"/>
        </w:rPr>
        <w:t xml:space="preserve"> </w:t>
      </w:r>
      <w:r>
        <w:rPr>
          <w:rFonts w:hint="eastAsia" w:ascii="宋体" w:hAnsi="宋体" w:cs="宋体"/>
          <w:b/>
          <w:color w:val="auto"/>
          <w:sz w:val="56"/>
          <w:szCs w:val="56"/>
        </w:rPr>
        <w:t>应</w:t>
      </w:r>
      <w:r>
        <w:rPr>
          <w:rFonts w:hint="eastAsia" w:ascii="宋体" w:hAnsi="宋体" w:cs="宋体"/>
          <w:b/>
          <w:color w:val="auto"/>
          <w:sz w:val="56"/>
          <w:szCs w:val="56"/>
          <w:lang w:val="en-US" w:eastAsia="zh-CN"/>
        </w:rPr>
        <w:t xml:space="preserve"> </w:t>
      </w:r>
      <w:r>
        <w:rPr>
          <w:rFonts w:hint="eastAsia" w:ascii="宋体" w:hAnsi="宋体" w:cs="宋体"/>
          <w:b/>
          <w:color w:val="auto"/>
          <w:sz w:val="56"/>
          <w:szCs w:val="56"/>
        </w:rPr>
        <w:t>文</w:t>
      </w:r>
      <w:r>
        <w:rPr>
          <w:rFonts w:hint="eastAsia" w:ascii="宋体" w:hAnsi="宋体" w:cs="宋体"/>
          <w:b/>
          <w:color w:val="auto"/>
          <w:sz w:val="56"/>
          <w:szCs w:val="56"/>
          <w:lang w:val="en-US" w:eastAsia="zh-CN"/>
        </w:rPr>
        <w:t xml:space="preserve"> </w:t>
      </w:r>
      <w:r>
        <w:rPr>
          <w:rFonts w:hint="eastAsia" w:ascii="宋体" w:hAnsi="宋体" w:cs="宋体"/>
          <w:b/>
          <w:color w:val="auto"/>
          <w:sz w:val="56"/>
          <w:szCs w:val="56"/>
        </w:rPr>
        <w:t>件</w:t>
      </w:r>
    </w:p>
    <w:p>
      <w:pPr>
        <w:pStyle w:val="29"/>
        <w:rPr>
          <w:rFonts w:hint="eastAsia" w:ascii="宋体" w:hAnsi="宋体" w:cs="宋体"/>
          <w:b/>
          <w:color w:val="auto"/>
          <w:sz w:val="44"/>
          <w:szCs w:val="44"/>
        </w:rPr>
      </w:pPr>
    </w:p>
    <w:p>
      <w:pPr>
        <w:pStyle w:val="29"/>
        <w:rPr>
          <w:rFonts w:hint="eastAsia" w:ascii="宋体" w:hAnsi="宋体" w:cs="宋体"/>
          <w:b/>
          <w:color w:val="auto"/>
          <w:sz w:val="44"/>
          <w:szCs w:val="44"/>
        </w:rPr>
      </w:pPr>
    </w:p>
    <w:p>
      <w:pPr>
        <w:pStyle w:val="29"/>
        <w:rPr>
          <w:rFonts w:hint="default" w:eastAsia="宋体"/>
          <w:u w:val="single"/>
          <w:lang w:val="en-US" w:eastAsia="zh-CN"/>
        </w:rPr>
      </w:pPr>
      <w:r>
        <w:rPr>
          <w:rFonts w:hint="eastAsia" w:ascii="宋体" w:hAnsi="宋体" w:eastAsia="宋体" w:cs="宋体"/>
          <w:b/>
          <w:color w:val="auto"/>
          <w:kern w:val="2"/>
          <w:sz w:val="28"/>
          <w:szCs w:val="28"/>
          <w:lang w:val="en-US" w:eastAsia="zh-CN" w:bidi="ar-SA"/>
        </w:rPr>
        <w:t>推荐产品品目名称：</w:t>
      </w:r>
      <w:r>
        <w:rPr>
          <w:rFonts w:hint="eastAsia" w:ascii="宋体" w:hAnsi="宋体" w:cs="宋体"/>
          <w:b/>
          <w:color w:val="auto"/>
          <w:kern w:val="2"/>
          <w:sz w:val="28"/>
          <w:szCs w:val="28"/>
          <w:u w:val="single"/>
          <w:lang w:val="en-US" w:eastAsia="zh-CN" w:bidi="ar-SA"/>
        </w:rPr>
        <w:t xml:space="preserve">                              </w:t>
      </w:r>
    </w:p>
    <w:p>
      <w:pPr>
        <w:spacing w:line="360" w:lineRule="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 xml:space="preserve">供应商名称：                          </w:t>
      </w:r>
    </w:p>
    <w:p>
      <w:pPr>
        <w:spacing w:line="360" w:lineRule="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时间：       年     月   日</w:t>
      </w:r>
    </w:p>
    <w:p>
      <w:pPr>
        <w:spacing w:line="360" w:lineRule="auto"/>
        <w:rPr>
          <w:rFonts w:hint="default" w:ascii="宋体" w:hAnsi="宋体" w:eastAsia="宋体" w:cs="宋体"/>
          <w:b/>
          <w:color w:val="auto"/>
          <w:sz w:val="28"/>
          <w:szCs w:val="28"/>
          <w:lang w:val="en-US" w:eastAsia="zh-CN"/>
        </w:rPr>
      </w:pPr>
      <w:r>
        <w:rPr>
          <w:rFonts w:hint="eastAsia" w:ascii="宋体" w:hAnsi="宋体" w:cs="宋体"/>
          <w:b/>
          <w:color w:val="auto"/>
          <w:sz w:val="28"/>
          <w:szCs w:val="28"/>
        </w:rPr>
        <w:br w:type="page"/>
      </w:r>
      <w:r>
        <w:rPr>
          <w:rFonts w:hint="eastAsia" w:ascii="宋体" w:hAnsi="宋体" w:cs="宋体"/>
          <w:b/>
          <w:color w:val="auto"/>
          <w:sz w:val="28"/>
          <w:szCs w:val="28"/>
        </w:rPr>
        <w:t>格式1-2</w:t>
      </w:r>
      <w:r>
        <w:rPr>
          <w:rFonts w:hint="eastAsia" w:ascii="宋体" w:hAnsi="宋体" w:cs="宋体"/>
          <w:b/>
          <w:color w:val="auto"/>
          <w:sz w:val="28"/>
          <w:szCs w:val="28"/>
          <w:lang w:val="en-US" w:eastAsia="zh-CN"/>
        </w:rPr>
        <w:t xml:space="preserve">   资格要求</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1.供应商具有独立的民事责任能力，参与本次内部比选活动。</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供应商若为企业法人：提供“统一社会信用代码营业执照”；未换证的提供“营业执照、税务登记证、组织机构代码证或三证合一的营业执照”；1.2若为事业法人：提供“统一社会信用代码法人登记证书”；未换证的提交“事业法人登记证书、组织机构代码证”；1.3若为其他组织：提供“对应主管部门颁发的准许执业证明文件或营业执照”；1.4.若为自然人的，提供身份证明材料。以上均为复印件】</w:t>
      </w:r>
    </w:p>
    <w:p>
      <w:pPr>
        <w:pStyle w:val="30"/>
        <w:tabs>
          <w:tab w:val="left" w:pos="0"/>
          <w:tab w:val="left" w:pos="210"/>
          <w:tab w:val="clear" w:pos="420"/>
        </w:tabs>
        <w:spacing w:before="120" w:after="120" w:line="360" w:lineRule="auto"/>
        <w:ind w:left="0" w:leftChars="0" w:firstLine="0" w:firstLineChars="0"/>
        <w:jc w:val="left"/>
        <w:rPr>
          <w:rFonts w:hint="eastAsia" w:ascii="宋体" w:hAnsi="宋体" w:eastAsia="宋体" w:cs="宋体"/>
          <w:b w:val="0"/>
          <w:bCs w:val="0"/>
          <w:color w:val="auto"/>
          <w:kern w:val="2"/>
          <w:sz w:val="24"/>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val="0"/>
          <w:bCs w:val="0"/>
          <w:color w:val="auto"/>
          <w:kern w:val="2"/>
          <w:sz w:val="24"/>
          <w:szCs w:val="24"/>
          <w:lang w:val="en-US" w:eastAsia="zh-CN" w:bidi="ar-SA"/>
        </w:rPr>
        <w:t>2.根据相关法律法规规定：“采购项目提供整体设计、规范编制或者项目管理、监理、检测等服务的供应商，不得再参加该采购项目的其他采购活动。</w:t>
      </w:r>
      <w:r>
        <w:rPr>
          <w:rFonts w:hint="eastAsia" w:ascii="宋体" w:hAnsi="宋体" w:eastAsia="宋体" w:cs="宋体"/>
          <w:b/>
          <w:bCs/>
          <w:color w:val="auto"/>
          <w:kern w:val="2"/>
          <w:sz w:val="24"/>
          <w:szCs w:val="24"/>
          <w:lang w:val="en-US" w:eastAsia="zh-CN" w:bidi="ar-SA"/>
        </w:rPr>
        <w:t>供应商为采购人、采购代理机构在确定采购需求、编制招标文件过程中提供咨询论证，其提供的咨询论证意见成为招标文件中规定的供应商资格条件、技术服务商务要求、评标因素和标准、政府采购合同等实质性内容条款的，视同为采购项目提供规范编制。</w:t>
      </w:r>
      <w:r>
        <w:rPr>
          <w:rFonts w:hint="eastAsia" w:ascii="宋体" w:hAnsi="宋体" w:eastAsia="宋体" w:cs="宋体"/>
          <w:b w:val="0"/>
          <w:bCs w:val="0"/>
          <w:color w:val="auto"/>
          <w:kern w:val="2"/>
          <w:sz w:val="24"/>
          <w:szCs w:val="24"/>
          <w:lang w:val="en-US" w:eastAsia="zh-CN" w:bidi="ar-SA"/>
        </w:rPr>
        <w:t>”故参与本项目的供应商（含个人）须提供承诺：参</w:t>
      </w:r>
      <w:r>
        <w:rPr>
          <w:rFonts w:hint="eastAsia" w:ascii="宋体" w:hAnsi="宋体" w:eastAsia="宋体" w:cs="宋体"/>
          <w:b/>
          <w:bCs/>
          <w:color w:val="auto"/>
          <w:kern w:val="2"/>
          <w:sz w:val="24"/>
          <w:szCs w:val="24"/>
          <w:lang w:val="en-US" w:eastAsia="zh-CN" w:bidi="ar-SA"/>
        </w:rPr>
        <w:t>与本项目的供应商及相关人员所在单位不得再参与本项目后续的采购活动。【提供承诺函原件，请各家产品销售环节慎重考虑】；</w:t>
      </w:r>
      <w:r>
        <w:rPr>
          <w:rFonts w:hint="eastAsia" w:ascii="宋体" w:hAnsi="宋体" w:eastAsia="宋体" w:cs="宋体"/>
          <w:b w:val="0"/>
          <w:bCs w:val="0"/>
          <w:color w:val="auto"/>
          <w:kern w:val="2"/>
          <w:sz w:val="24"/>
          <w:szCs w:val="24"/>
          <w:lang w:val="en-US" w:eastAsia="zh-CN" w:bidi="ar-SA"/>
        </w:rPr>
        <w:t>其参与本项目活动的供应商将无法参与本项目正式的政府采购活动投标，但不限制其在本项目推荐的产品参与采购活动。</w:t>
      </w:r>
    </w:p>
    <w:p>
      <w:pPr>
        <w:jc w:val="left"/>
        <w:rPr>
          <w:rFonts w:hint="eastAsia" w:ascii="宋体" w:hAnsi="宋体" w:cs="宋体"/>
          <w:b/>
          <w:color w:val="auto"/>
          <w:sz w:val="28"/>
          <w:szCs w:val="28"/>
        </w:rPr>
      </w:pPr>
      <w:bookmarkStart w:id="3" w:name="_Toc308164824"/>
      <w:r>
        <w:rPr>
          <w:rFonts w:hint="eastAsia" w:ascii="宋体" w:hAnsi="宋体" w:cs="宋体"/>
          <w:b/>
          <w:color w:val="auto"/>
          <w:sz w:val="28"/>
          <w:szCs w:val="28"/>
        </w:rPr>
        <w:t>格式1-3</w:t>
      </w:r>
    </w:p>
    <w:p>
      <w:pPr>
        <w:numPr>
          <w:ilvl w:val="0"/>
          <w:numId w:val="1"/>
        </w:numPr>
        <w:jc w:val="center"/>
        <w:rPr>
          <w:rFonts w:hint="eastAsia" w:ascii="宋体" w:hAnsi="宋体" w:cs="宋体"/>
          <w:bCs/>
          <w:color w:val="auto"/>
          <w:sz w:val="24"/>
          <w:szCs w:val="24"/>
        </w:rPr>
      </w:pPr>
      <w:r>
        <w:rPr>
          <w:rFonts w:hint="eastAsia" w:ascii="宋体" w:hAnsi="宋体" w:cs="宋体"/>
          <w:b/>
          <w:color w:val="auto"/>
          <w:sz w:val="28"/>
          <w:szCs w:val="28"/>
        </w:rPr>
        <w:t>供应商推荐产品总预算报价一览表</w:t>
      </w:r>
    </w:p>
    <w:tbl>
      <w:tblPr>
        <w:tblStyle w:val="18"/>
        <w:tblW w:w="4996"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126"/>
        <w:gridCol w:w="1664"/>
        <w:gridCol w:w="1886"/>
        <w:gridCol w:w="1925"/>
        <w:gridCol w:w="1463"/>
        <w:gridCol w:w="1537"/>
        <w:gridCol w:w="1327"/>
        <w:gridCol w:w="1568"/>
        <w:gridCol w:w="89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71" w:type="pct"/>
            <w:tcBorders>
              <w:tl2br w:val="nil"/>
              <w:tr2bl w:val="nil"/>
            </w:tcBorders>
          </w:tcPr>
          <w:p>
            <w:pPr>
              <w:jc w:val="center"/>
              <w:rPr>
                <w:rFonts w:hint="eastAsia"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序号</w:t>
            </w:r>
          </w:p>
        </w:tc>
        <w:tc>
          <w:tcPr>
            <w:tcW w:w="397" w:type="pct"/>
            <w:tcBorders>
              <w:tl2br w:val="nil"/>
              <w:tr2bl w:val="nil"/>
            </w:tcBorders>
          </w:tcPr>
          <w:p>
            <w:pPr>
              <w:jc w:val="center"/>
              <w:rPr>
                <w:rFonts w:hint="eastAsia"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品目号</w:t>
            </w:r>
          </w:p>
        </w:tc>
        <w:tc>
          <w:tcPr>
            <w:tcW w:w="587" w:type="pct"/>
            <w:tcBorders>
              <w:tl2br w:val="nil"/>
              <w:tr2bl w:val="nil"/>
            </w:tcBorders>
          </w:tcPr>
          <w:p>
            <w:pPr>
              <w:jc w:val="center"/>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产品名称</w:t>
            </w:r>
          </w:p>
        </w:tc>
        <w:tc>
          <w:tcPr>
            <w:tcW w:w="665" w:type="pct"/>
            <w:tcBorders>
              <w:tl2br w:val="nil"/>
              <w:tr2bl w:val="nil"/>
            </w:tcBorders>
          </w:tcPr>
          <w:p>
            <w:pPr>
              <w:jc w:val="center"/>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数量单位</w:t>
            </w:r>
          </w:p>
        </w:tc>
        <w:tc>
          <w:tcPr>
            <w:tcW w:w="679" w:type="pct"/>
            <w:tcBorders>
              <w:tl2br w:val="nil"/>
              <w:tr2bl w:val="nil"/>
            </w:tcBorders>
          </w:tcPr>
          <w:p>
            <w:pPr>
              <w:jc w:val="center"/>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产品制造厂家</w:t>
            </w:r>
          </w:p>
        </w:tc>
        <w:tc>
          <w:tcPr>
            <w:tcW w:w="516" w:type="pct"/>
            <w:tcBorders>
              <w:tl2br w:val="nil"/>
              <w:tr2bl w:val="nil"/>
            </w:tcBorders>
          </w:tcPr>
          <w:p>
            <w:pPr>
              <w:jc w:val="center"/>
              <w:rPr>
                <w:rFonts w:hint="eastAsia"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品牌</w:t>
            </w:r>
          </w:p>
        </w:tc>
        <w:tc>
          <w:tcPr>
            <w:tcW w:w="542" w:type="pct"/>
            <w:tcBorders>
              <w:tl2br w:val="nil"/>
              <w:tr2bl w:val="nil"/>
            </w:tcBorders>
          </w:tcPr>
          <w:p>
            <w:pPr>
              <w:jc w:val="center"/>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规格型号</w:t>
            </w:r>
          </w:p>
        </w:tc>
        <w:tc>
          <w:tcPr>
            <w:tcW w:w="468" w:type="pct"/>
            <w:tcBorders>
              <w:tl2br w:val="nil"/>
              <w:tr2bl w:val="nil"/>
            </w:tcBorders>
          </w:tcPr>
          <w:p>
            <w:pPr>
              <w:jc w:val="center"/>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单价（元）</w:t>
            </w:r>
          </w:p>
        </w:tc>
        <w:tc>
          <w:tcPr>
            <w:tcW w:w="553" w:type="pct"/>
            <w:tcBorders>
              <w:tl2br w:val="nil"/>
              <w:tr2bl w:val="nil"/>
            </w:tcBorders>
          </w:tcPr>
          <w:p>
            <w:pPr>
              <w:jc w:val="center"/>
              <w:rPr>
                <w:rFonts w:hint="default" w:ascii="宋体" w:hAnsi="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小计金额（元）</w:t>
            </w:r>
          </w:p>
        </w:tc>
        <w:tc>
          <w:tcPr>
            <w:tcW w:w="317" w:type="pct"/>
            <w:tcBorders>
              <w:tl2br w:val="nil"/>
              <w:tr2bl w:val="nil"/>
            </w:tcBorders>
          </w:tcPr>
          <w:p>
            <w:pPr>
              <w:jc w:val="center"/>
              <w:rPr>
                <w:rFonts w:hint="default" w:ascii="宋体" w:hAnsi="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71" w:type="pct"/>
            <w:tcBorders>
              <w:tl2br w:val="nil"/>
              <w:tr2bl w:val="nil"/>
            </w:tcBorders>
          </w:tcPr>
          <w:p>
            <w:pPr>
              <w:jc w:val="left"/>
              <w:rPr>
                <w:rFonts w:hint="eastAsia" w:ascii="宋体" w:hAnsi="宋体" w:cs="宋体"/>
                <w:b/>
                <w:color w:val="auto"/>
                <w:sz w:val="21"/>
                <w:szCs w:val="21"/>
                <w:vertAlign w:val="baseline"/>
              </w:rPr>
            </w:pPr>
          </w:p>
        </w:tc>
        <w:tc>
          <w:tcPr>
            <w:tcW w:w="397" w:type="pct"/>
            <w:tcBorders>
              <w:tl2br w:val="nil"/>
              <w:tr2bl w:val="nil"/>
            </w:tcBorders>
          </w:tcPr>
          <w:p>
            <w:pPr>
              <w:jc w:val="left"/>
              <w:rPr>
                <w:rFonts w:hint="eastAsia" w:ascii="宋体" w:hAnsi="宋体" w:cs="宋体"/>
                <w:b/>
                <w:color w:val="auto"/>
                <w:sz w:val="21"/>
                <w:szCs w:val="21"/>
                <w:vertAlign w:val="baseline"/>
              </w:rPr>
            </w:pPr>
          </w:p>
        </w:tc>
        <w:tc>
          <w:tcPr>
            <w:tcW w:w="587" w:type="pct"/>
            <w:tcBorders>
              <w:tl2br w:val="nil"/>
              <w:tr2bl w:val="nil"/>
            </w:tcBorders>
          </w:tcPr>
          <w:p>
            <w:pPr>
              <w:jc w:val="left"/>
              <w:rPr>
                <w:rFonts w:hint="eastAsia" w:ascii="宋体" w:hAnsi="宋体" w:cs="宋体"/>
                <w:b/>
                <w:color w:val="auto"/>
                <w:sz w:val="21"/>
                <w:szCs w:val="21"/>
                <w:vertAlign w:val="baseline"/>
              </w:rPr>
            </w:pPr>
          </w:p>
        </w:tc>
        <w:tc>
          <w:tcPr>
            <w:tcW w:w="665" w:type="pct"/>
            <w:tcBorders>
              <w:tl2br w:val="nil"/>
              <w:tr2bl w:val="nil"/>
            </w:tcBorders>
          </w:tcPr>
          <w:p>
            <w:pPr>
              <w:jc w:val="left"/>
              <w:rPr>
                <w:rFonts w:hint="eastAsia" w:ascii="宋体" w:hAnsi="宋体" w:cs="宋体"/>
                <w:b/>
                <w:color w:val="auto"/>
                <w:sz w:val="21"/>
                <w:szCs w:val="21"/>
                <w:vertAlign w:val="baseline"/>
              </w:rPr>
            </w:pPr>
          </w:p>
        </w:tc>
        <w:tc>
          <w:tcPr>
            <w:tcW w:w="679" w:type="pct"/>
            <w:tcBorders>
              <w:tl2br w:val="nil"/>
              <w:tr2bl w:val="nil"/>
            </w:tcBorders>
          </w:tcPr>
          <w:p>
            <w:pPr>
              <w:jc w:val="left"/>
              <w:rPr>
                <w:rFonts w:hint="eastAsia" w:ascii="宋体" w:hAnsi="宋体" w:cs="宋体"/>
                <w:b/>
                <w:color w:val="auto"/>
                <w:sz w:val="21"/>
                <w:szCs w:val="21"/>
                <w:vertAlign w:val="baseline"/>
              </w:rPr>
            </w:pPr>
          </w:p>
        </w:tc>
        <w:tc>
          <w:tcPr>
            <w:tcW w:w="516" w:type="pct"/>
            <w:tcBorders>
              <w:tl2br w:val="nil"/>
              <w:tr2bl w:val="nil"/>
            </w:tcBorders>
          </w:tcPr>
          <w:p>
            <w:pPr>
              <w:jc w:val="left"/>
              <w:rPr>
                <w:rFonts w:hint="eastAsia" w:ascii="宋体" w:hAnsi="宋体" w:cs="宋体"/>
                <w:b/>
                <w:color w:val="auto"/>
                <w:sz w:val="21"/>
                <w:szCs w:val="21"/>
                <w:vertAlign w:val="baseline"/>
              </w:rPr>
            </w:pPr>
          </w:p>
        </w:tc>
        <w:tc>
          <w:tcPr>
            <w:tcW w:w="542" w:type="pct"/>
            <w:tcBorders>
              <w:tl2br w:val="nil"/>
              <w:tr2bl w:val="nil"/>
            </w:tcBorders>
          </w:tcPr>
          <w:p>
            <w:pPr>
              <w:jc w:val="left"/>
              <w:rPr>
                <w:rFonts w:hint="eastAsia" w:ascii="宋体" w:hAnsi="宋体" w:cs="宋体"/>
                <w:b/>
                <w:color w:val="auto"/>
                <w:sz w:val="21"/>
                <w:szCs w:val="21"/>
                <w:vertAlign w:val="baseline"/>
              </w:rPr>
            </w:pPr>
          </w:p>
        </w:tc>
        <w:tc>
          <w:tcPr>
            <w:tcW w:w="468" w:type="pct"/>
            <w:tcBorders>
              <w:tl2br w:val="nil"/>
              <w:tr2bl w:val="nil"/>
            </w:tcBorders>
          </w:tcPr>
          <w:p>
            <w:pPr>
              <w:jc w:val="left"/>
              <w:rPr>
                <w:rFonts w:hint="eastAsia" w:ascii="宋体" w:hAnsi="宋体" w:cs="宋体"/>
                <w:b/>
                <w:color w:val="auto"/>
                <w:sz w:val="21"/>
                <w:szCs w:val="21"/>
                <w:vertAlign w:val="baseline"/>
              </w:rPr>
            </w:pPr>
          </w:p>
        </w:tc>
        <w:tc>
          <w:tcPr>
            <w:tcW w:w="553" w:type="pct"/>
            <w:tcBorders>
              <w:tl2br w:val="nil"/>
              <w:tr2bl w:val="nil"/>
            </w:tcBorders>
          </w:tcPr>
          <w:p>
            <w:pPr>
              <w:jc w:val="left"/>
              <w:rPr>
                <w:rFonts w:hint="eastAsia" w:ascii="宋体" w:hAnsi="宋体" w:cs="宋体"/>
                <w:b/>
                <w:color w:val="auto"/>
                <w:sz w:val="21"/>
                <w:szCs w:val="21"/>
                <w:vertAlign w:val="baseline"/>
              </w:rPr>
            </w:pPr>
          </w:p>
        </w:tc>
        <w:tc>
          <w:tcPr>
            <w:tcW w:w="317" w:type="pct"/>
            <w:tcBorders>
              <w:tl2br w:val="nil"/>
              <w:tr2bl w:val="nil"/>
            </w:tcBorders>
          </w:tcPr>
          <w:p>
            <w:pPr>
              <w:jc w:val="left"/>
              <w:rPr>
                <w:rFonts w:hint="eastAsia" w:ascii="宋体" w:hAnsi="宋体" w:cs="宋体"/>
                <w:b/>
                <w:color w:val="auto"/>
                <w:sz w:val="21"/>
                <w:szCs w:val="21"/>
                <w:vertAlign w:val="baseli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71" w:type="pct"/>
            <w:tcBorders>
              <w:tl2br w:val="nil"/>
              <w:tr2bl w:val="nil"/>
            </w:tcBorders>
          </w:tcPr>
          <w:p>
            <w:pPr>
              <w:jc w:val="left"/>
              <w:rPr>
                <w:rFonts w:hint="eastAsia" w:ascii="宋体" w:hAnsi="宋体" w:cs="宋体"/>
                <w:b/>
                <w:color w:val="auto"/>
                <w:sz w:val="21"/>
                <w:szCs w:val="21"/>
                <w:vertAlign w:val="baseline"/>
              </w:rPr>
            </w:pPr>
          </w:p>
        </w:tc>
        <w:tc>
          <w:tcPr>
            <w:tcW w:w="397" w:type="pct"/>
            <w:tcBorders>
              <w:tl2br w:val="nil"/>
              <w:tr2bl w:val="nil"/>
            </w:tcBorders>
          </w:tcPr>
          <w:p>
            <w:pPr>
              <w:jc w:val="left"/>
              <w:rPr>
                <w:rFonts w:hint="eastAsia" w:ascii="宋体" w:hAnsi="宋体" w:cs="宋体"/>
                <w:b/>
                <w:color w:val="auto"/>
                <w:sz w:val="21"/>
                <w:szCs w:val="21"/>
                <w:vertAlign w:val="baseline"/>
              </w:rPr>
            </w:pPr>
          </w:p>
        </w:tc>
        <w:tc>
          <w:tcPr>
            <w:tcW w:w="587" w:type="pct"/>
            <w:tcBorders>
              <w:tl2br w:val="nil"/>
              <w:tr2bl w:val="nil"/>
            </w:tcBorders>
          </w:tcPr>
          <w:p>
            <w:pPr>
              <w:jc w:val="left"/>
              <w:rPr>
                <w:rFonts w:hint="eastAsia" w:ascii="宋体" w:hAnsi="宋体" w:cs="宋体"/>
                <w:b/>
                <w:color w:val="auto"/>
                <w:sz w:val="21"/>
                <w:szCs w:val="21"/>
                <w:vertAlign w:val="baseline"/>
              </w:rPr>
            </w:pPr>
          </w:p>
        </w:tc>
        <w:tc>
          <w:tcPr>
            <w:tcW w:w="665" w:type="pct"/>
            <w:tcBorders>
              <w:tl2br w:val="nil"/>
              <w:tr2bl w:val="nil"/>
            </w:tcBorders>
          </w:tcPr>
          <w:p>
            <w:pPr>
              <w:jc w:val="left"/>
              <w:rPr>
                <w:rFonts w:hint="eastAsia" w:ascii="宋体" w:hAnsi="宋体" w:cs="宋体"/>
                <w:b/>
                <w:color w:val="auto"/>
                <w:sz w:val="21"/>
                <w:szCs w:val="21"/>
                <w:vertAlign w:val="baseline"/>
              </w:rPr>
            </w:pPr>
          </w:p>
        </w:tc>
        <w:tc>
          <w:tcPr>
            <w:tcW w:w="679" w:type="pct"/>
            <w:tcBorders>
              <w:tl2br w:val="nil"/>
              <w:tr2bl w:val="nil"/>
            </w:tcBorders>
          </w:tcPr>
          <w:p>
            <w:pPr>
              <w:jc w:val="left"/>
              <w:rPr>
                <w:rFonts w:hint="eastAsia" w:ascii="宋体" w:hAnsi="宋体" w:cs="宋体"/>
                <w:b/>
                <w:color w:val="auto"/>
                <w:sz w:val="21"/>
                <w:szCs w:val="21"/>
                <w:vertAlign w:val="baseline"/>
              </w:rPr>
            </w:pPr>
          </w:p>
        </w:tc>
        <w:tc>
          <w:tcPr>
            <w:tcW w:w="516" w:type="pct"/>
            <w:tcBorders>
              <w:tl2br w:val="nil"/>
              <w:tr2bl w:val="nil"/>
            </w:tcBorders>
          </w:tcPr>
          <w:p>
            <w:pPr>
              <w:jc w:val="left"/>
              <w:rPr>
                <w:rFonts w:hint="eastAsia" w:ascii="宋体" w:hAnsi="宋体" w:cs="宋体"/>
                <w:b/>
                <w:color w:val="auto"/>
                <w:sz w:val="21"/>
                <w:szCs w:val="21"/>
                <w:vertAlign w:val="baseline"/>
              </w:rPr>
            </w:pPr>
          </w:p>
        </w:tc>
        <w:tc>
          <w:tcPr>
            <w:tcW w:w="542" w:type="pct"/>
            <w:tcBorders>
              <w:tl2br w:val="nil"/>
              <w:tr2bl w:val="nil"/>
            </w:tcBorders>
          </w:tcPr>
          <w:p>
            <w:pPr>
              <w:jc w:val="left"/>
              <w:rPr>
                <w:rFonts w:hint="eastAsia" w:ascii="宋体" w:hAnsi="宋体" w:cs="宋体"/>
                <w:b/>
                <w:color w:val="auto"/>
                <w:sz w:val="21"/>
                <w:szCs w:val="21"/>
                <w:vertAlign w:val="baseline"/>
              </w:rPr>
            </w:pPr>
          </w:p>
        </w:tc>
        <w:tc>
          <w:tcPr>
            <w:tcW w:w="468" w:type="pct"/>
            <w:tcBorders>
              <w:tl2br w:val="nil"/>
              <w:tr2bl w:val="nil"/>
            </w:tcBorders>
          </w:tcPr>
          <w:p>
            <w:pPr>
              <w:jc w:val="left"/>
              <w:rPr>
                <w:rFonts w:hint="eastAsia" w:ascii="宋体" w:hAnsi="宋体" w:cs="宋体"/>
                <w:b/>
                <w:color w:val="auto"/>
                <w:sz w:val="21"/>
                <w:szCs w:val="21"/>
                <w:vertAlign w:val="baseline"/>
              </w:rPr>
            </w:pPr>
          </w:p>
        </w:tc>
        <w:tc>
          <w:tcPr>
            <w:tcW w:w="553" w:type="pct"/>
            <w:tcBorders>
              <w:tl2br w:val="nil"/>
              <w:tr2bl w:val="nil"/>
            </w:tcBorders>
          </w:tcPr>
          <w:p>
            <w:pPr>
              <w:jc w:val="left"/>
              <w:rPr>
                <w:rFonts w:hint="eastAsia" w:ascii="宋体" w:hAnsi="宋体" w:cs="宋体"/>
                <w:b/>
                <w:color w:val="auto"/>
                <w:sz w:val="21"/>
                <w:szCs w:val="21"/>
                <w:vertAlign w:val="baseline"/>
              </w:rPr>
            </w:pPr>
          </w:p>
        </w:tc>
        <w:tc>
          <w:tcPr>
            <w:tcW w:w="317" w:type="pct"/>
            <w:tcBorders>
              <w:tl2br w:val="nil"/>
              <w:tr2bl w:val="nil"/>
            </w:tcBorders>
          </w:tcPr>
          <w:p>
            <w:pPr>
              <w:jc w:val="left"/>
              <w:rPr>
                <w:rFonts w:hint="eastAsia" w:ascii="宋体" w:hAnsi="宋体" w:cs="宋体"/>
                <w:b/>
                <w:color w:val="auto"/>
                <w:sz w:val="21"/>
                <w:szCs w:val="21"/>
                <w:vertAlign w:val="baseline"/>
              </w:rPr>
            </w:pPr>
          </w:p>
        </w:tc>
      </w:tr>
    </w:tbl>
    <w:p>
      <w:pPr>
        <w:widowControl/>
        <w:spacing w:line="360" w:lineRule="atLeast"/>
        <w:jc w:val="left"/>
        <w:outlineLvl w:val="1"/>
        <w:rPr>
          <w:rFonts w:hint="eastAsia" w:ascii="宋体" w:hAnsi="宋体" w:cs="宋体"/>
          <w:bCs/>
          <w:color w:val="auto"/>
          <w:sz w:val="24"/>
          <w:szCs w:val="24"/>
        </w:rPr>
      </w:pPr>
    </w:p>
    <w:p>
      <w:pPr>
        <w:widowControl/>
        <w:spacing w:line="360" w:lineRule="atLeast"/>
        <w:jc w:val="left"/>
        <w:outlineLvl w:val="1"/>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注：1.供应商根据自身所投产品或服务进行报价，应尽可能地细化报价。2.如报价品目产品在上述报价表中不涉及的，填写“/”即可。</w:t>
      </w:r>
    </w:p>
    <w:p>
      <w:pPr>
        <w:widowControl/>
        <w:spacing w:line="360" w:lineRule="atLeast"/>
        <w:jc w:val="left"/>
        <w:outlineLvl w:val="1"/>
        <w:rPr>
          <w:rFonts w:hint="eastAsia" w:ascii="宋体" w:hAnsi="宋体" w:cs="宋体"/>
          <w:bCs/>
          <w:color w:val="auto"/>
          <w:sz w:val="24"/>
          <w:szCs w:val="24"/>
        </w:rPr>
      </w:pPr>
    </w:p>
    <w:p>
      <w:pPr>
        <w:widowControl/>
        <w:spacing w:line="360" w:lineRule="auto"/>
        <w:jc w:val="left"/>
        <w:outlineLvl w:val="1"/>
        <w:rPr>
          <w:rFonts w:hint="eastAsia" w:ascii="宋体" w:hAnsi="宋体" w:cs="宋体"/>
          <w:bCs/>
          <w:color w:val="auto"/>
          <w:sz w:val="24"/>
          <w:szCs w:val="24"/>
        </w:rPr>
      </w:pPr>
    </w:p>
    <w:p>
      <w:pPr>
        <w:widowControl/>
        <w:spacing w:line="360" w:lineRule="auto"/>
        <w:jc w:val="left"/>
        <w:outlineLvl w:val="1"/>
        <w:rPr>
          <w:rFonts w:hint="eastAsia" w:ascii="宋体" w:hAnsi="宋体" w:cs="宋体"/>
          <w:bCs/>
          <w:color w:val="auto"/>
          <w:sz w:val="24"/>
          <w:szCs w:val="24"/>
        </w:rPr>
      </w:pPr>
      <w:r>
        <w:rPr>
          <w:rFonts w:hint="eastAsia" w:ascii="宋体" w:hAnsi="宋体" w:cs="宋体"/>
          <w:bCs/>
          <w:color w:val="auto"/>
          <w:sz w:val="24"/>
          <w:szCs w:val="24"/>
        </w:rPr>
        <w:t>供应商名称：XXXX（单位盖章）。</w:t>
      </w:r>
    </w:p>
    <w:p>
      <w:pPr>
        <w:widowControl/>
        <w:spacing w:line="360" w:lineRule="auto"/>
        <w:jc w:val="left"/>
        <w:outlineLvl w:val="1"/>
        <w:rPr>
          <w:rFonts w:hint="eastAsia" w:ascii="宋体" w:hAnsi="宋体" w:cs="宋体"/>
          <w:b/>
          <w:color w:val="auto"/>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 w:val="24"/>
          <w:szCs w:val="24"/>
        </w:rPr>
        <w:t>日期</w:t>
      </w:r>
      <w:r>
        <w:rPr>
          <w:rFonts w:hint="eastAsia" w:ascii="宋体" w:hAnsi="宋体" w:cs="宋体"/>
          <w:bCs/>
          <w:color w:val="auto"/>
          <w:sz w:val="24"/>
          <w:szCs w:val="24"/>
          <w:lang w:eastAsia="zh-CN"/>
        </w:rPr>
        <w:t>：</w:t>
      </w:r>
      <w:r>
        <w:rPr>
          <w:rFonts w:hint="eastAsia" w:ascii="宋体" w:hAnsi="宋体" w:cs="宋体"/>
          <w:bCs/>
          <w:color w:val="auto"/>
          <w:sz w:val="24"/>
          <w:szCs w:val="24"/>
        </w:rPr>
        <w:t xml:space="preserve"> XXXX。</w:t>
      </w:r>
    </w:p>
    <w:p>
      <w:pPr>
        <w:jc w:val="left"/>
        <w:rPr>
          <w:rFonts w:hint="eastAsia" w:ascii="宋体" w:hAnsi="宋体" w:cs="宋体"/>
          <w:b/>
          <w:color w:val="auto"/>
          <w:sz w:val="28"/>
          <w:szCs w:val="28"/>
        </w:rPr>
      </w:pPr>
    </w:p>
    <w:p>
      <w:pPr>
        <w:jc w:val="left"/>
        <w:rPr>
          <w:rFonts w:hint="default" w:ascii="宋体" w:hAnsi="宋体" w:eastAsia="宋体" w:cs="宋体"/>
          <w:b/>
          <w:color w:val="auto"/>
          <w:sz w:val="28"/>
          <w:szCs w:val="28"/>
          <w:lang w:val="en-US" w:eastAsia="zh-CN"/>
        </w:rPr>
      </w:pPr>
      <w:r>
        <w:rPr>
          <w:rFonts w:hint="eastAsia" w:ascii="宋体" w:hAnsi="宋体" w:cs="宋体"/>
          <w:b/>
          <w:color w:val="auto"/>
          <w:sz w:val="28"/>
          <w:szCs w:val="28"/>
        </w:rPr>
        <w:t>格式1-</w:t>
      </w:r>
      <w:r>
        <w:rPr>
          <w:rFonts w:hint="eastAsia" w:ascii="宋体" w:hAnsi="宋体" w:cs="宋体"/>
          <w:b/>
          <w:color w:val="auto"/>
          <w:sz w:val="28"/>
          <w:szCs w:val="28"/>
          <w:lang w:val="en-US" w:eastAsia="zh-CN"/>
        </w:rPr>
        <w:t>4  近2年历史成交价格（非常重要）</w:t>
      </w:r>
    </w:p>
    <w:tbl>
      <w:tblPr>
        <w:tblStyle w:val="17"/>
        <w:tblW w:w="4997"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379"/>
        <w:gridCol w:w="1113"/>
        <w:gridCol w:w="733"/>
        <w:gridCol w:w="869"/>
        <w:gridCol w:w="869"/>
        <w:gridCol w:w="869"/>
        <w:gridCol w:w="869"/>
        <w:gridCol w:w="87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55"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809"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r>
              <w:rPr>
                <w:rFonts w:hint="eastAsia" w:ascii="宋体" w:hAnsi="宋体" w:eastAsia="宋体" w:cs="宋体"/>
                <w:color w:val="000000"/>
                <w:sz w:val="22"/>
                <w:szCs w:val="22"/>
              </w:rPr>
              <w:t>产品名称</w:t>
            </w:r>
          </w:p>
        </w:tc>
        <w:tc>
          <w:tcPr>
            <w:tcW w:w="653"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推荐</w:t>
            </w:r>
            <w:r>
              <w:rPr>
                <w:rFonts w:hint="eastAsia" w:ascii="宋体" w:hAnsi="宋体" w:eastAsia="宋体" w:cs="宋体"/>
                <w:color w:val="000000"/>
                <w:sz w:val="22"/>
                <w:szCs w:val="22"/>
              </w:rPr>
              <w:t>产品品牌</w:t>
            </w:r>
          </w:p>
        </w:tc>
        <w:tc>
          <w:tcPr>
            <w:tcW w:w="43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r>
              <w:rPr>
                <w:rFonts w:hint="eastAsia" w:ascii="宋体" w:hAnsi="宋体" w:eastAsia="宋体" w:cs="宋体"/>
                <w:color w:val="000000"/>
                <w:sz w:val="22"/>
                <w:szCs w:val="22"/>
              </w:rPr>
              <w:t>规格型号</w:t>
            </w: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产品注册证名称</w:t>
            </w:r>
          </w:p>
        </w:tc>
        <w:tc>
          <w:tcPr>
            <w:tcW w:w="510" w:type="pct"/>
            <w:tcBorders>
              <w:tl2br w:val="nil"/>
              <w:tr2bl w:val="nil"/>
            </w:tcBorders>
            <w:noWrap w:val="0"/>
            <w:vAlign w:val="center"/>
          </w:tcPr>
          <w:p>
            <w:pPr>
              <w:widowControl/>
              <w:jc w:val="center"/>
              <w:outlineLvl w:val="1"/>
              <w:rPr>
                <w:rFonts w:hint="default" w:ascii="宋体" w:hAnsi="宋体" w:eastAsia="宋体" w:cs="宋体"/>
                <w:color w:val="000000"/>
                <w:sz w:val="22"/>
                <w:szCs w:val="22"/>
                <w:lang w:val="en-US" w:eastAsia="zh-CN"/>
              </w:rPr>
            </w:pPr>
            <w:r>
              <w:rPr>
                <w:rFonts w:hint="eastAsia" w:ascii="宋体" w:hAnsi="宋体" w:cs="宋体"/>
                <w:color w:val="000000"/>
                <w:sz w:val="22"/>
                <w:szCs w:val="22"/>
                <w:lang w:eastAsia="zh-CN"/>
              </w:rPr>
              <w:t>历史成交价格</w:t>
            </w:r>
            <w:r>
              <w:rPr>
                <w:rFonts w:hint="eastAsia" w:ascii="宋体" w:hAnsi="宋体" w:cs="宋体"/>
                <w:color w:val="000000"/>
                <w:sz w:val="22"/>
                <w:szCs w:val="22"/>
                <w:lang w:val="en-US" w:eastAsia="zh-CN"/>
              </w:rPr>
              <w:t>1</w:t>
            </w: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历史成交采购人名称</w:t>
            </w: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中标公告链接</w:t>
            </w: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5"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80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c>
          <w:tcPr>
            <w:tcW w:w="653"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430" w:type="pct"/>
            <w:tcBorders>
              <w:tl2br w:val="nil"/>
              <w:tr2bl w:val="nil"/>
            </w:tcBorders>
            <w:noWrap w:val="0"/>
            <w:vAlign w:val="center"/>
          </w:tcPr>
          <w:p>
            <w:pPr>
              <w:widowControl/>
              <w:jc w:val="center"/>
              <w:rPr>
                <w:rFonts w:hint="eastAsia" w:ascii="宋体" w:hAnsi="宋体" w:eastAsia="宋体" w:cs="宋体"/>
                <w:color w:val="000000"/>
                <w:kern w:val="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5" w:type="pct"/>
            <w:tcBorders>
              <w:tl2br w:val="nil"/>
              <w:tr2bl w:val="nil"/>
            </w:tcBorders>
            <w:noWrap w:val="0"/>
            <w:vAlign w:val="center"/>
          </w:tcPr>
          <w:p>
            <w:pPr>
              <w:widowControl/>
              <w:jc w:val="center"/>
              <w:outlineLvl w:val="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80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c>
          <w:tcPr>
            <w:tcW w:w="653"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430" w:type="pct"/>
            <w:tcBorders>
              <w:tl2br w:val="nil"/>
              <w:tr2bl w:val="nil"/>
            </w:tcBorders>
            <w:noWrap w:val="0"/>
            <w:vAlign w:val="center"/>
          </w:tcPr>
          <w:p>
            <w:pPr>
              <w:widowControl/>
              <w:jc w:val="center"/>
              <w:rPr>
                <w:rFonts w:hint="eastAsia" w:ascii="宋体" w:hAnsi="宋体" w:eastAsia="宋体" w:cs="宋体"/>
                <w:color w:val="000000"/>
                <w:kern w:val="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55" w:type="pct"/>
            <w:tcBorders>
              <w:tl2br w:val="nil"/>
              <w:tr2bl w:val="nil"/>
            </w:tcBorders>
            <w:noWrap w:val="0"/>
            <w:vAlign w:val="center"/>
          </w:tcPr>
          <w:p>
            <w:pPr>
              <w:widowControl/>
              <w:jc w:val="center"/>
              <w:outlineLvl w:val="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80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p>
        </w:tc>
        <w:tc>
          <w:tcPr>
            <w:tcW w:w="653"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430" w:type="pct"/>
            <w:tcBorders>
              <w:tl2br w:val="nil"/>
              <w:tr2bl w:val="nil"/>
            </w:tcBorders>
            <w:noWrap w:val="0"/>
            <w:vAlign w:val="center"/>
          </w:tcPr>
          <w:p>
            <w:pPr>
              <w:widowControl/>
              <w:jc w:val="center"/>
              <w:rPr>
                <w:rFonts w:hint="eastAsia" w:ascii="宋体" w:hAnsi="宋体" w:eastAsia="宋体" w:cs="宋体"/>
                <w:color w:val="000000"/>
                <w:kern w:val="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c>
          <w:tcPr>
            <w:tcW w:w="510" w:type="pct"/>
            <w:tcBorders>
              <w:tl2br w:val="nil"/>
              <w:tr2bl w:val="nil"/>
            </w:tcBorders>
            <w:noWrap w:val="0"/>
            <w:vAlign w:val="center"/>
          </w:tcPr>
          <w:p>
            <w:pPr>
              <w:widowControl/>
              <w:jc w:val="center"/>
              <w:outlineLvl w:val="1"/>
              <w:rPr>
                <w:rFonts w:hint="eastAsia" w:ascii="宋体" w:hAnsi="宋体" w:eastAsia="宋体" w:cs="宋体"/>
                <w:color w:val="000000"/>
                <w:sz w:val="22"/>
                <w:szCs w:val="22"/>
              </w:rPr>
            </w:pPr>
          </w:p>
        </w:tc>
      </w:tr>
    </w:tbl>
    <w:p>
      <w:pPr>
        <w:pStyle w:val="3"/>
        <w:jc w:val="both"/>
        <w:rPr>
          <w:rFonts w:hint="default" w:eastAsia="宋体"/>
          <w:color w:val="auto"/>
          <w:sz w:val="24"/>
          <w:szCs w:val="36"/>
          <w:lang w:val="en-US" w:eastAsia="zh-CN"/>
        </w:rPr>
      </w:pPr>
      <w:r>
        <w:rPr>
          <w:rFonts w:hint="eastAsia"/>
          <w:color w:val="auto"/>
          <w:sz w:val="28"/>
          <w:szCs w:val="40"/>
          <w:lang w:eastAsia="zh-CN"/>
        </w:rPr>
        <w:t>注：</w:t>
      </w:r>
      <w:r>
        <w:rPr>
          <w:rFonts w:hint="eastAsia"/>
          <w:color w:val="auto"/>
          <w:sz w:val="24"/>
          <w:szCs w:val="36"/>
          <w:lang w:eastAsia="zh-CN"/>
        </w:rPr>
        <w:t>这张表格非常重要，供采购人了解历史成交价格，以便最终确定采购控制价。此表后面附上同类产品历史中标价的中标公告截图。（尽量能证明出单品历史成交价格）</w:t>
      </w:r>
    </w:p>
    <w:p>
      <w:pPr>
        <w:widowControl/>
        <w:spacing w:line="360" w:lineRule="atLeast"/>
        <w:jc w:val="left"/>
        <w:outlineLvl w:val="1"/>
        <w:rPr>
          <w:rFonts w:hint="eastAsia" w:ascii="宋体" w:hAnsi="宋体" w:cs="宋体"/>
          <w:bCs/>
          <w:color w:val="auto"/>
          <w:sz w:val="24"/>
          <w:szCs w:val="24"/>
        </w:rPr>
      </w:pPr>
    </w:p>
    <w:p>
      <w:pPr>
        <w:widowControl/>
        <w:spacing w:line="360" w:lineRule="atLeast"/>
        <w:jc w:val="left"/>
        <w:outlineLvl w:val="1"/>
        <w:rPr>
          <w:rFonts w:hint="eastAsia" w:ascii="宋体" w:hAnsi="宋体" w:cs="宋体"/>
          <w:bCs/>
          <w:color w:val="auto"/>
          <w:sz w:val="24"/>
          <w:szCs w:val="24"/>
        </w:rPr>
      </w:pPr>
      <w:r>
        <w:rPr>
          <w:rFonts w:hint="eastAsia" w:ascii="宋体" w:hAnsi="宋体" w:cs="宋体"/>
          <w:bCs/>
          <w:color w:val="auto"/>
          <w:sz w:val="24"/>
          <w:szCs w:val="24"/>
        </w:rPr>
        <w:t>供应商名称：XXXX（单位盖章）。</w:t>
      </w:r>
    </w:p>
    <w:p>
      <w:pPr>
        <w:widowControl/>
        <w:spacing w:line="360" w:lineRule="atLeast"/>
        <w:jc w:val="left"/>
        <w:outlineLvl w:val="1"/>
        <w:rPr>
          <w:rFonts w:hint="eastAsia" w:ascii="宋体" w:hAnsi="宋体" w:cs="宋体"/>
          <w:bCs/>
          <w:color w:val="auto"/>
          <w:sz w:val="24"/>
          <w:szCs w:val="24"/>
        </w:rPr>
      </w:pPr>
      <w:r>
        <w:rPr>
          <w:rFonts w:hint="eastAsia" w:ascii="宋体" w:hAnsi="宋体" w:cs="宋体"/>
          <w:bCs/>
          <w:color w:val="auto"/>
          <w:sz w:val="24"/>
          <w:szCs w:val="24"/>
        </w:rPr>
        <w:t>日期</w:t>
      </w:r>
      <w:r>
        <w:rPr>
          <w:rFonts w:hint="eastAsia" w:ascii="宋体" w:hAnsi="宋体" w:cs="宋体"/>
          <w:bCs/>
          <w:color w:val="auto"/>
          <w:sz w:val="24"/>
          <w:szCs w:val="24"/>
          <w:lang w:eastAsia="zh-CN"/>
        </w:rPr>
        <w:t>：</w:t>
      </w:r>
      <w:r>
        <w:rPr>
          <w:rFonts w:hint="eastAsia" w:ascii="宋体" w:hAnsi="宋体" w:cs="宋体"/>
          <w:bCs/>
          <w:color w:val="auto"/>
          <w:sz w:val="24"/>
          <w:szCs w:val="24"/>
        </w:rPr>
        <w:t xml:space="preserve"> XXXX。</w:t>
      </w: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p>
    <w:p>
      <w:pPr>
        <w:jc w:val="left"/>
        <w:rPr>
          <w:rFonts w:hint="eastAsia" w:ascii="宋体" w:hAnsi="宋体" w:cs="宋体"/>
          <w:b/>
          <w:color w:val="auto"/>
          <w:sz w:val="28"/>
          <w:szCs w:val="28"/>
        </w:rPr>
      </w:pPr>
      <w:r>
        <w:rPr>
          <w:rFonts w:hint="eastAsia" w:ascii="宋体" w:hAnsi="宋体" w:cs="宋体"/>
          <w:b/>
          <w:color w:val="auto"/>
          <w:sz w:val="28"/>
          <w:szCs w:val="28"/>
        </w:rPr>
        <w:t>格式1-</w:t>
      </w:r>
      <w:r>
        <w:rPr>
          <w:rFonts w:hint="eastAsia" w:ascii="宋体" w:hAnsi="宋体" w:cs="宋体"/>
          <w:b/>
          <w:color w:val="auto"/>
          <w:sz w:val="28"/>
          <w:szCs w:val="28"/>
          <w:lang w:val="en-US" w:eastAsia="zh-CN"/>
        </w:rPr>
        <w:t>5</w:t>
      </w:r>
      <w:r>
        <w:rPr>
          <w:rFonts w:hint="eastAsia" w:ascii="宋体" w:hAnsi="宋体" w:cs="宋体"/>
          <w:b/>
          <w:color w:val="auto"/>
          <w:sz w:val="28"/>
          <w:szCs w:val="28"/>
        </w:rPr>
        <w:t xml:space="preserve">                </w:t>
      </w:r>
    </w:p>
    <w:p>
      <w:pPr>
        <w:jc w:val="left"/>
        <w:rPr>
          <w:rFonts w:hint="eastAsia" w:ascii="宋体" w:hAnsi="宋体" w:cs="宋体"/>
          <w:b/>
          <w:color w:val="auto"/>
          <w:sz w:val="28"/>
          <w:szCs w:val="28"/>
        </w:rPr>
      </w:pPr>
    </w:p>
    <w:p>
      <w:pPr>
        <w:jc w:val="center"/>
        <w:rPr>
          <w:rFonts w:hint="eastAsia" w:ascii="宋体" w:hAnsi="宋体" w:cs="宋体"/>
          <w:b/>
          <w:color w:val="auto"/>
          <w:sz w:val="28"/>
          <w:szCs w:val="28"/>
        </w:rPr>
      </w:pPr>
      <w:r>
        <w:rPr>
          <w:rFonts w:hint="eastAsia" w:ascii="宋体" w:hAnsi="宋体" w:cs="宋体"/>
          <w:b/>
          <w:color w:val="auto"/>
          <w:sz w:val="28"/>
          <w:szCs w:val="28"/>
        </w:rPr>
        <w:t>商务应答表</w:t>
      </w:r>
    </w:p>
    <w:tbl>
      <w:tblPr>
        <w:tblStyle w:val="17"/>
        <w:tblW w:w="931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3157"/>
        <w:gridCol w:w="3144"/>
        <w:gridCol w:w="19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1070" w:type="dxa"/>
            <w:noWrap w:val="0"/>
            <w:vAlign w:val="center"/>
          </w:tcPr>
          <w:p>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3157" w:type="dxa"/>
            <w:noWrap w:val="0"/>
            <w:vAlign w:val="center"/>
          </w:tcPr>
          <w:p>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文件要求</w:t>
            </w:r>
          </w:p>
        </w:tc>
        <w:tc>
          <w:tcPr>
            <w:tcW w:w="3144" w:type="dxa"/>
            <w:noWrap w:val="0"/>
            <w:vAlign w:val="center"/>
          </w:tcPr>
          <w:p>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推荐供应商应答</w:t>
            </w:r>
          </w:p>
        </w:tc>
        <w:tc>
          <w:tcPr>
            <w:tcW w:w="1947" w:type="dxa"/>
            <w:noWrap w:val="0"/>
            <w:vAlign w:val="center"/>
          </w:tcPr>
          <w:p>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响应/偏离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04" w:hRule="atLeast"/>
        </w:trPr>
        <w:tc>
          <w:tcPr>
            <w:tcW w:w="1070"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3157" w:type="dxa"/>
            <w:noWrap w:val="0"/>
            <w:vAlign w:val="center"/>
          </w:tcPr>
          <w:p>
            <w:pPr>
              <w:spacing w:line="400" w:lineRule="exact"/>
              <w:jc w:val="left"/>
              <w:rPr>
                <w:rFonts w:hint="eastAsia" w:ascii="宋体" w:hAnsi="宋体" w:eastAsia="宋体" w:cs="宋体"/>
                <w:b w:val="0"/>
                <w:bCs w:val="0"/>
                <w:color w:val="auto"/>
                <w:sz w:val="24"/>
                <w:szCs w:val="24"/>
                <w:lang w:eastAsia="zh-CN"/>
              </w:rPr>
            </w:pPr>
          </w:p>
        </w:tc>
        <w:tc>
          <w:tcPr>
            <w:tcW w:w="3144" w:type="dxa"/>
            <w:noWrap w:val="0"/>
            <w:vAlign w:val="center"/>
          </w:tcPr>
          <w:p>
            <w:pPr>
              <w:spacing w:line="400" w:lineRule="exact"/>
              <w:jc w:val="left"/>
              <w:rPr>
                <w:rFonts w:hint="eastAsia" w:ascii="宋体" w:hAnsi="宋体" w:eastAsia="宋体" w:cs="宋体"/>
                <w:b w:val="0"/>
                <w:bCs w:val="0"/>
                <w:color w:val="auto"/>
                <w:sz w:val="24"/>
                <w:szCs w:val="24"/>
                <w:lang w:val="en-US" w:eastAsia="zh-CN"/>
              </w:rPr>
            </w:pPr>
          </w:p>
        </w:tc>
        <w:tc>
          <w:tcPr>
            <w:tcW w:w="1947" w:type="dxa"/>
            <w:noWrap w:val="0"/>
            <w:vAlign w:val="center"/>
          </w:tcPr>
          <w:p>
            <w:pPr>
              <w:spacing w:line="400" w:lineRule="exact"/>
              <w:jc w:val="center"/>
              <w:rPr>
                <w:rFonts w:hint="eastAsia" w:ascii="宋体" w:hAnsi="宋体" w:eastAsia="宋体" w:cs="宋体"/>
                <w:b w:val="0"/>
                <w:bCs w:val="0"/>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04" w:hRule="atLeast"/>
        </w:trPr>
        <w:tc>
          <w:tcPr>
            <w:tcW w:w="1070"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2</w:t>
            </w:r>
          </w:p>
        </w:tc>
        <w:tc>
          <w:tcPr>
            <w:tcW w:w="3157" w:type="dxa"/>
            <w:noWrap w:val="0"/>
            <w:vAlign w:val="center"/>
          </w:tcPr>
          <w:p>
            <w:pPr>
              <w:spacing w:line="400" w:lineRule="exact"/>
              <w:jc w:val="left"/>
              <w:rPr>
                <w:rFonts w:hint="eastAsia" w:ascii="宋体" w:hAnsi="宋体" w:eastAsia="宋体" w:cs="宋体"/>
                <w:b w:val="0"/>
                <w:bCs w:val="0"/>
                <w:color w:val="auto"/>
                <w:sz w:val="24"/>
                <w:szCs w:val="24"/>
              </w:rPr>
            </w:pPr>
          </w:p>
        </w:tc>
        <w:tc>
          <w:tcPr>
            <w:tcW w:w="3144" w:type="dxa"/>
            <w:noWrap w:val="0"/>
            <w:vAlign w:val="center"/>
          </w:tcPr>
          <w:p>
            <w:pPr>
              <w:spacing w:line="400" w:lineRule="exact"/>
              <w:jc w:val="left"/>
              <w:rPr>
                <w:rFonts w:hint="eastAsia" w:ascii="宋体" w:hAnsi="宋体" w:eastAsia="宋体" w:cs="宋体"/>
                <w:b w:val="0"/>
                <w:bCs w:val="0"/>
                <w:color w:val="auto"/>
                <w:sz w:val="24"/>
                <w:szCs w:val="24"/>
              </w:rPr>
            </w:pPr>
          </w:p>
        </w:tc>
        <w:tc>
          <w:tcPr>
            <w:tcW w:w="1947" w:type="dxa"/>
            <w:noWrap w:val="0"/>
            <w:vAlign w:val="center"/>
          </w:tcPr>
          <w:p>
            <w:pPr>
              <w:spacing w:line="400" w:lineRule="exact"/>
              <w:jc w:val="center"/>
              <w:rPr>
                <w:rFonts w:hint="eastAsia" w:ascii="宋体" w:hAnsi="宋体" w:eastAsia="宋体" w:cs="宋体"/>
                <w:b w:val="0"/>
                <w:bCs w:val="0"/>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72" w:hRule="atLeast"/>
        </w:trPr>
        <w:tc>
          <w:tcPr>
            <w:tcW w:w="1070"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3</w:t>
            </w:r>
          </w:p>
        </w:tc>
        <w:tc>
          <w:tcPr>
            <w:tcW w:w="3157" w:type="dxa"/>
            <w:noWrap w:val="0"/>
            <w:vAlign w:val="center"/>
          </w:tcPr>
          <w:p>
            <w:pPr>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w:t>
            </w:r>
          </w:p>
        </w:tc>
        <w:tc>
          <w:tcPr>
            <w:tcW w:w="3144" w:type="dxa"/>
            <w:noWrap w:val="0"/>
            <w:vAlign w:val="center"/>
          </w:tcPr>
          <w:p>
            <w:pPr>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w:t>
            </w:r>
          </w:p>
        </w:tc>
        <w:tc>
          <w:tcPr>
            <w:tcW w:w="1947" w:type="dxa"/>
            <w:noWrap w:val="0"/>
            <w:vAlign w:val="center"/>
          </w:tcPr>
          <w:p>
            <w:pPr>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w:t>
            </w:r>
          </w:p>
        </w:tc>
      </w:tr>
      <w:bookmarkEnd w:id="3"/>
    </w:tbl>
    <w:p>
      <w:pPr>
        <w:widowControl/>
        <w:spacing w:line="360" w:lineRule="atLeast"/>
        <w:jc w:val="left"/>
        <w:outlineLvl w:val="1"/>
        <w:rPr>
          <w:rFonts w:hint="eastAsia" w:ascii="宋体" w:hAnsi="宋体" w:cs="宋体"/>
          <w:b/>
          <w:color w:val="auto"/>
          <w:sz w:val="24"/>
          <w:szCs w:val="24"/>
        </w:rPr>
      </w:pPr>
    </w:p>
    <w:p>
      <w:pPr>
        <w:widowControl/>
        <w:spacing w:line="360" w:lineRule="atLeast"/>
        <w:jc w:val="left"/>
        <w:outlineLvl w:val="1"/>
        <w:rPr>
          <w:rFonts w:hint="eastAsia" w:ascii="宋体" w:hAnsi="宋体" w:cs="宋体"/>
          <w:bCs/>
          <w:color w:val="auto"/>
          <w:sz w:val="24"/>
          <w:szCs w:val="24"/>
        </w:rPr>
      </w:pPr>
      <w:r>
        <w:rPr>
          <w:rFonts w:hint="eastAsia" w:ascii="宋体" w:hAnsi="宋体" w:cs="宋体"/>
          <w:bCs/>
          <w:color w:val="auto"/>
          <w:sz w:val="24"/>
          <w:szCs w:val="24"/>
        </w:rPr>
        <w:t>供应商名称：XXXX（单位盖章）。</w:t>
      </w:r>
    </w:p>
    <w:p>
      <w:pPr>
        <w:widowControl/>
        <w:spacing w:line="360" w:lineRule="atLeast"/>
        <w:jc w:val="left"/>
        <w:outlineLvl w:val="1"/>
        <w:rPr>
          <w:rFonts w:hint="eastAsia" w:ascii="宋体" w:hAnsi="宋体" w:cs="宋体"/>
          <w:bCs/>
          <w:color w:val="auto"/>
          <w:sz w:val="24"/>
          <w:szCs w:val="24"/>
        </w:rPr>
      </w:pPr>
      <w:r>
        <w:rPr>
          <w:rFonts w:hint="eastAsia" w:ascii="宋体" w:hAnsi="宋体" w:cs="宋体"/>
          <w:bCs/>
          <w:color w:val="auto"/>
          <w:sz w:val="24"/>
          <w:szCs w:val="24"/>
        </w:rPr>
        <w:t>日期</w:t>
      </w:r>
      <w:r>
        <w:rPr>
          <w:rFonts w:hint="eastAsia" w:ascii="宋体" w:hAnsi="宋体" w:cs="宋体"/>
          <w:bCs/>
          <w:color w:val="auto"/>
          <w:sz w:val="24"/>
          <w:szCs w:val="24"/>
          <w:lang w:eastAsia="zh-CN"/>
        </w:rPr>
        <w:t>：</w:t>
      </w:r>
      <w:r>
        <w:rPr>
          <w:rFonts w:hint="eastAsia" w:ascii="宋体" w:hAnsi="宋体" w:cs="宋体"/>
          <w:bCs/>
          <w:color w:val="auto"/>
          <w:sz w:val="24"/>
          <w:szCs w:val="24"/>
        </w:rPr>
        <w:t xml:space="preserve"> XXXX。</w:t>
      </w:r>
    </w:p>
    <w:p>
      <w:pPr>
        <w:spacing w:line="360" w:lineRule="auto"/>
        <w:rPr>
          <w:rFonts w:hint="eastAsia" w:ascii="宋体" w:hAnsi="宋体" w:cs="宋体"/>
          <w:b/>
          <w:color w:val="auto"/>
          <w:sz w:val="24"/>
          <w:szCs w:val="24"/>
        </w:rPr>
      </w:pPr>
    </w:p>
    <w:p>
      <w:pPr>
        <w:spacing w:line="360" w:lineRule="auto"/>
        <w:rPr>
          <w:rFonts w:hint="eastAsia" w:ascii="宋体" w:hAnsi="宋体" w:cs="宋体"/>
          <w:b/>
          <w:color w:val="auto"/>
          <w:sz w:val="28"/>
          <w:szCs w:val="28"/>
        </w:rPr>
      </w:pPr>
    </w:p>
    <w:p>
      <w:pPr>
        <w:spacing w:line="360" w:lineRule="auto"/>
        <w:rPr>
          <w:rFonts w:hint="eastAsia" w:ascii="宋体" w:hAnsi="宋体" w:cs="宋体"/>
          <w:b/>
          <w:color w:val="auto"/>
          <w:sz w:val="28"/>
          <w:szCs w:val="28"/>
        </w:rPr>
      </w:pPr>
    </w:p>
    <w:p>
      <w:pPr>
        <w:pStyle w:val="2"/>
        <w:rPr>
          <w:rFonts w:hint="eastAsia" w:ascii="宋体" w:hAnsi="宋体" w:cs="宋体"/>
          <w:color w:val="auto"/>
          <w:sz w:val="28"/>
          <w:szCs w:val="28"/>
        </w:rPr>
      </w:pPr>
    </w:p>
    <w:p>
      <w:pPr>
        <w:rPr>
          <w:rFonts w:hint="eastAsia" w:ascii="宋体" w:hAnsi="宋体" w:cs="宋体"/>
          <w:color w:val="auto"/>
          <w:sz w:val="28"/>
          <w:szCs w:val="28"/>
        </w:rPr>
      </w:pPr>
    </w:p>
    <w:p>
      <w:pPr>
        <w:pStyle w:val="29"/>
        <w:rPr>
          <w:rFonts w:hint="eastAsia"/>
          <w:color w:val="auto"/>
        </w:rPr>
      </w:pPr>
    </w:p>
    <w:p>
      <w:pPr>
        <w:spacing w:line="360" w:lineRule="auto"/>
        <w:rPr>
          <w:rFonts w:hint="eastAsia" w:ascii="宋体" w:hAnsi="宋体" w:eastAsia="宋体" w:cs="宋体"/>
          <w:b/>
          <w:color w:val="auto"/>
          <w:sz w:val="28"/>
          <w:szCs w:val="28"/>
          <w:lang w:eastAsia="zh-CN"/>
        </w:rPr>
      </w:pPr>
      <w:bookmarkStart w:id="4" w:name="_Toc217446088"/>
      <w:r>
        <w:rPr>
          <w:rFonts w:hint="eastAsia" w:ascii="宋体" w:hAnsi="宋体" w:cs="宋体"/>
          <w:b/>
          <w:color w:val="auto"/>
          <w:sz w:val="28"/>
          <w:szCs w:val="28"/>
        </w:rPr>
        <w:br w:type="page"/>
      </w:r>
      <w:r>
        <w:rPr>
          <w:rFonts w:hint="eastAsia" w:ascii="宋体" w:hAnsi="宋体" w:cs="宋体"/>
          <w:b/>
          <w:color w:val="auto"/>
          <w:sz w:val="28"/>
          <w:szCs w:val="28"/>
        </w:rPr>
        <w:t>格式1-</w:t>
      </w:r>
      <w:r>
        <w:rPr>
          <w:rFonts w:hint="eastAsia" w:ascii="宋体" w:hAnsi="宋体" w:cs="宋体"/>
          <w:b/>
          <w:color w:val="auto"/>
          <w:sz w:val="28"/>
          <w:szCs w:val="28"/>
          <w:lang w:val="en-US" w:eastAsia="zh-CN"/>
        </w:rPr>
        <w:t>6</w:t>
      </w:r>
    </w:p>
    <w:p>
      <w:pPr>
        <w:widowControl/>
        <w:spacing w:line="360" w:lineRule="atLeast"/>
        <w:jc w:val="center"/>
        <w:outlineLvl w:val="1"/>
        <w:rPr>
          <w:rFonts w:hint="eastAsia" w:ascii="宋体" w:hAnsi="宋体" w:cs="宋体"/>
          <w:color w:val="auto"/>
          <w:sz w:val="28"/>
          <w:szCs w:val="28"/>
        </w:rPr>
      </w:pPr>
      <w:r>
        <w:rPr>
          <w:rFonts w:hint="eastAsia" w:ascii="宋体" w:hAnsi="宋体" w:cs="宋体"/>
          <w:b/>
          <w:bCs w:val="0"/>
          <w:color w:val="auto"/>
          <w:sz w:val="28"/>
          <w:szCs w:val="28"/>
        </w:rPr>
        <w:t>推荐产品技术参数</w:t>
      </w:r>
      <w:r>
        <w:rPr>
          <w:rFonts w:hint="eastAsia" w:ascii="宋体" w:hAnsi="宋体" w:cs="宋体"/>
          <w:b/>
          <w:bCs w:val="0"/>
          <w:color w:val="auto"/>
          <w:sz w:val="28"/>
          <w:szCs w:val="28"/>
          <w:lang w:eastAsia="zh-CN"/>
        </w:rPr>
        <w:t>表</w:t>
      </w:r>
      <w:r>
        <w:rPr>
          <w:rFonts w:hint="eastAsia" w:ascii="宋体" w:hAnsi="宋体" w:cs="宋体"/>
          <w:b/>
          <w:bCs w:val="0"/>
          <w:color w:val="auto"/>
          <w:sz w:val="28"/>
          <w:szCs w:val="28"/>
        </w:rPr>
        <w:t xml:space="preserve">                             </w:t>
      </w:r>
    </w:p>
    <w:bookmarkEnd w:id="4"/>
    <w:tbl>
      <w:tblPr>
        <w:tblStyle w:val="17"/>
        <w:tblW w:w="9108" w:type="dxa"/>
        <w:tblInd w:w="96"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1313"/>
        <w:gridCol w:w="1390"/>
        <w:gridCol w:w="1830"/>
        <w:gridCol w:w="2080"/>
        <w:gridCol w:w="1420"/>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453" w:hRule="exact"/>
        </w:trPr>
        <w:tc>
          <w:tcPr>
            <w:tcW w:w="10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序号</w:t>
            </w:r>
          </w:p>
        </w:tc>
        <w:tc>
          <w:tcPr>
            <w:tcW w:w="1313" w:type="dxa"/>
            <w:tcBorders>
              <w:tl2br w:val="nil"/>
              <w:tr2bl w:val="nil"/>
            </w:tcBorders>
            <w:noWrap w:val="0"/>
            <w:vAlign w:val="center"/>
          </w:tcPr>
          <w:p>
            <w:pPr>
              <w:pStyle w:val="30"/>
              <w:spacing w:before="120" w:after="120" w:line="460" w:lineRule="exact"/>
              <w:ind w:left="0" w:leftChars="0" w:firstLine="0" w:firstLineChars="0"/>
              <w:jc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产品名称</w:t>
            </w:r>
          </w:p>
        </w:tc>
        <w:tc>
          <w:tcPr>
            <w:tcW w:w="1390" w:type="dxa"/>
            <w:tcBorders>
              <w:tl2br w:val="nil"/>
              <w:tr2bl w:val="nil"/>
            </w:tcBorders>
            <w:noWrap w:val="0"/>
            <w:vAlign w:val="center"/>
          </w:tcPr>
          <w:p>
            <w:pPr>
              <w:pStyle w:val="30"/>
              <w:spacing w:before="120" w:after="120" w:line="460" w:lineRule="exact"/>
              <w:jc w:val="center"/>
              <w:rPr>
                <w:rFonts w:hint="default" w:ascii="宋体" w:hAnsi="宋体" w:eastAsia="宋体" w:cs="Times New Roman"/>
                <w:b/>
                <w:bCs/>
                <w:color w:val="auto"/>
                <w:kern w:val="2"/>
                <w:sz w:val="21"/>
                <w:szCs w:val="21"/>
                <w:lang w:val="en-US" w:eastAsia="zh-CN" w:bidi="ar-SA"/>
              </w:rPr>
            </w:pPr>
            <w:r>
              <w:rPr>
                <w:rFonts w:hint="eastAsia" w:ascii="宋体" w:eastAsia="宋体" w:cs="Times New Roman"/>
                <w:b/>
                <w:bCs/>
                <w:color w:val="auto"/>
                <w:kern w:val="2"/>
                <w:sz w:val="21"/>
                <w:szCs w:val="21"/>
                <w:lang w:val="en-US" w:eastAsia="zh-CN" w:bidi="ar-SA"/>
              </w:rPr>
              <w:t>采购文件要求参数</w:t>
            </w:r>
          </w:p>
        </w:tc>
        <w:tc>
          <w:tcPr>
            <w:tcW w:w="1830" w:type="dxa"/>
            <w:tcBorders>
              <w:tl2br w:val="nil"/>
              <w:tr2bl w:val="nil"/>
            </w:tcBorders>
            <w:noWrap w:val="0"/>
            <w:vAlign w:val="center"/>
          </w:tcPr>
          <w:p>
            <w:pPr>
              <w:pStyle w:val="30"/>
              <w:tabs>
                <w:tab w:val="left" w:pos="0"/>
                <w:tab w:val="clear" w:pos="420"/>
              </w:tabs>
              <w:spacing w:before="120" w:after="120" w:line="240" w:lineRule="auto"/>
              <w:ind w:left="426" w:leftChars="200" w:hanging="6" w:hangingChars="3"/>
              <w:jc w:val="center"/>
              <w:rPr>
                <w:rFonts w:hint="eastAsia" w:ascii="宋体" w:hAnsi="宋体" w:eastAsia="宋体" w:cs="Times New Roman"/>
                <w:b/>
                <w:bCs/>
                <w:color w:val="auto"/>
                <w:kern w:val="2"/>
                <w:sz w:val="21"/>
                <w:szCs w:val="21"/>
                <w:lang w:val="en-US" w:eastAsia="zh-CN" w:bidi="ar-SA"/>
              </w:rPr>
            </w:pPr>
            <w:r>
              <w:rPr>
                <w:rFonts w:hint="eastAsia" w:ascii="宋体" w:eastAsia="宋体" w:cs="Times New Roman"/>
                <w:b/>
                <w:bCs/>
                <w:color w:val="auto"/>
                <w:kern w:val="2"/>
                <w:sz w:val="21"/>
                <w:szCs w:val="21"/>
                <w:lang w:val="en-US" w:eastAsia="zh-CN" w:bidi="ar-SA"/>
              </w:rPr>
              <w:t>供应商自身</w:t>
            </w:r>
            <w:r>
              <w:rPr>
                <w:rFonts w:hint="eastAsia" w:ascii="宋体" w:hAnsi="宋体" w:eastAsia="宋体" w:cs="Times New Roman"/>
                <w:b/>
                <w:bCs/>
                <w:color w:val="auto"/>
                <w:kern w:val="2"/>
                <w:sz w:val="21"/>
                <w:szCs w:val="21"/>
                <w:lang w:val="en-US" w:eastAsia="zh-CN" w:bidi="ar-SA"/>
              </w:rPr>
              <w:t>推荐参数</w:t>
            </w:r>
          </w:p>
        </w:tc>
        <w:tc>
          <w:tcPr>
            <w:tcW w:w="2080" w:type="dxa"/>
            <w:tcBorders>
              <w:tl2br w:val="nil"/>
              <w:tr2bl w:val="nil"/>
            </w:tcBorders>
            <w:noWrap w:val="0"/>
            <w:vAlign w:val="center"/>
          </w:tcPr>
          <w:p>
            <w:pPr>
              <w:pStyle w:val="30"/>
              <w:tabs>
                <w:tab w:val="left" w:pos="0"/>
                <w:tab w:val="clear" w:pos="420"/>
              </w:tabs>
              <w:spacing w:before="120" w:after="120" w:line="240" w:lineRule="auto"/>
              <w:ind w:left="0" w:leftChars="0" w:firstLine="0" w:firstLineChars="0"/>
              <w:jc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产品具有明显的优势说明（无法填写时，可以用“/”代替）</w:t>
            </w:r>
          </w:p>
        </w:tc>
        <w:tc>
          <w:tcPr>
            <w:tcW w:w="1420" w:type="dxa"/>
            <w:tcBorders>
              <w:tl2br w:val="nil"/>
              <w:tr2bl w:val="nil"/>
            </w:tcBorders>
            <w:noWrap w:val="0"/>
            <w:vAlign w:val="center"/>
          </w:tcPr>
          <w:p>
            <w:pPr>
              <w:pStyle w:val="30"/>
              <w:tabs>
                <w:tab w:val="left" w:pos="0"/>
                <w:tab w:val="clear" w:pos="420"/>
              </w:tabs>
              <w:spacing w:before="120" w:after="120" w:line="240"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技术人员联系方式</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915" w:hRule="exact"/>
        </w:trPr>
        <w:tc>
          <w:tcPr>
            <w:tcW w:w="1075"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r>
              <w:rPr>
                <w:rFonts w:hint="eastAsia" w:ascii="宋体" w:hAnsi="宋体" w:eastAsia="宋体" w:cs="Times New Roman"/>
                <w:b w:val="0"/>
                <w:bCs w:val="0"/>
                <w:color w:val="auto"/>
                <w:kern w:val="2"/>
                <w:sz w:val="20"/>
                <w:szCs w:val="20"/>
                <w:lang w:val="en-US" w:eastAsia="zh-CN" w:bidi="ar-SA"/>
              </w:rPr>
              <w:t>1</w:t>
            </w:r>
          </w:p>
        </w:tc>
        <w:tc>
          <w:tcPr>
            <w:tcW w:w="1313"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39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83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208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142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60" w:hRule="exact"/>
        </w:trPr>
        <w:tc>
          <w:tcPr>
            <w:tcW w:w="1075"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r>
              <w:rPr>
                <w:rFonts w:hint="eastAsia" w:ascii="宋体" w:hAnsi="宋体" w:eastAsia="宋体" w:cs="Times New Roman"/>
                <w:b w:val="0"/>
                <w:bCs w:val="0"/>
                <w:color w:val="auto"/>
                <w:kern w:val="2"/>
                <w:sz w:val="20"/>
                <w:szCs w:val="20"/>
                <w:lang w:val="en-US" w:eastAsia="zh-CN" w:bidi="ar-SA"/>
              </w:rPr>
              <w:t>2</w:t>
            </w:r>
          </w:p>
        </w:tc>
        <w:tc>
          <w:tcPr>
            <w:tcW w:w="1313"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39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83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208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142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026" w:hRule="exact"/>
        </w:trPr>
        <w:tc>
          <w:tcPr>
            <w:tcW w:w="1075"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r>
              <w:rPr>
                <w:rFonts w:hint="eastAsia" w:ascii="宋体" w:hAnsi="宋体" w:eastAsia="宋体" w:cs="Times New Roman"/>
                <w:b w:val="0"/>
                <w:bCs w:val="0"/>
                <w:color w:val="auto"/>
                <w:kern w:val="2"/>
                <w:sz w:val="20"/>
                <w:szCs w:val="20"/>
                <w:lang w:val="en-US" w:eastAsia="zh-CN" w:bidi="ar-SA"/>
              </w:rPr>
              <w:t>3</w:t>
            </w:r>
          </w:p>
        </w:tc>
        <w:tc>
          <w:tcPr>
            <w:tcW w:w="1313"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39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83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208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142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026" w:hRule="exact"/>
        </w:trPr>
        <w:tc>
          <w:tcPr>
            <w:tcW w:w="1075" w:type="dxa"/>
            <w:tcBorders>
              <w:tl2br w:val="nil"/>
              <w:tr2bl w:val="nil"/>
            </w:tcBorders>
            <w:shd w:val="clear" w:color="auto" w:fill="FFFFFF"/>
            <w:noWrap w:val="0"/>
            <w:vAlign w:val="center"/>
          </w:tcPr>
          <w:p>
            <w:pPr>
              <w:keepNext w:val="0"/>
              <w:keepLines w:val="0"/>
              <w:widowControl/>
              <w:suppressLineNumbers w:val="0"/>
              <w:jc w:val="both"/>
              <w:textAlignment w:val="center"/>
              <w:rPr>
                <w:rFonts w:hint="default" w:ascii="宋体" w:hAnsi="宋体" w:eastAsia="宋体" w:cs="Times New Roman"/>
                <w:b w:val="0"/>
                <w:bCs w:val="0"/>
                <w:color w:val="auto"/>
                <w:kern w:val="2"/>
                <w:sz w:val="20"/>
                <w:szCs w:val="20"/>
                <w:lang w:val="en-US" w:eastAsia="zh-CN" w:bidi="ar-SA"/>
              </w:rPr>
            </w:pPr>
            <w:r>
              <w:rPr>
                <w:rFonts w:hint="eastAsia" w:ascii="宋体" w:hAnsi="宋体" w:cs="Times New Roman"/>
                <w:b w:val="0"/>
                <w:bCs w:val="0"/>
                <w:color w:val="auto"/>
                <w:kern w:val="2"/>
                <w:sz w:val="20"/>
                <w:szCs w:val="20"/>
                <w:lang w:val="en-US" w:eastAsia="zh-CN" w:bidi="ar-SA"/>
              </w:rPr>
              <w:t>...</w:t>
            </w:r>
          </w:p>
        </w:tc>
        <w:tc>
          <w:tcPr>
            <w:tcW w:w="1313"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39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lang w:val="en-US" w:eastAsia="zh-CN" w:bidi="ar-SA"/>
              </w:rPr>
            </w:pPr>
          </w:p>
        </w:tc>
        <w:tc>
          <w:tcPr>
            <w:tcW w:w="183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208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c>
          <w:tcPr>
            <w:tcW w:w="1420" w:type="dxa"/>
            <w:tcBorders>
              <w:tl2br w:val="nil"/>
              <w:tr2bl w:val="nil"/>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Times New Roman"/>
                <w:b w:val="0"/>
                <w:bCs w:val="0"/>
                <w:color w:val="auto"/>
                <w:kern w:val="2"/>
                <w:sz w:val="20"/>
                <w:szCs w:val="20"/>
                <w:lang w:val="en-US" w:eastAsia="zh-CN" w:bidi="ar-SA"/>
              </w:rPr>
            </w:pPr>
          </w:p>
        </w:tc>
      </w:tr>
    </w:tbl>
    <w:p>
      <w:pPr>
        <w:pStyle w:val="30"/>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r>
        <w:rPr>
          <w:rFonts w:hint="eastAsia" w:ascii="宋体" w:eastAsia="宋体" w:cs="宋体"/>
          <w:color w:val="auto"/>
          <w:sz w:val="24"/>
          <w:lang w:val="en-US" w:eastAsia="zh-CN"/>
        </w:rPr>
        <w:t>1.</w:t>
      </w:r>
      <w:r>
        <w:rPr>
          <w:rFonts w:hint="eastAsia" w:ascii="宋体" w:eastAsia="宋体" w:cs="宋体"/>
          <w:color w:val="auto"/>
          <w:sz w:val="24"/>
        </w:rPr>
        <w:t>请后附上每个相关产品的厂家宣传图册或产品说明书或产品官网截图</w:t>
      </w:r>
    </w:p>
    <w:p>
      <w:pPr>
        <w:pStyle w:val="30"/>
        <w:numPr>
          <w:ilvl w:val="0"/>
          <w:numId w:val="0"/>
        </w:numPr>
        <w:tabs>
          <w:tab w:val="left" w:pos="0"/>
          <w:tab w:val="clear" w:pos="420"/>
        </w:tabs>
        <w:spacing w:before="120" w:after="120" w:line="460" w:lineRule="exact"/>
        <w:ind w:leftChars="0"/>
        <w:jc w:val="left"/>
        <w:rPr>
          <w:rFonts w:hint="eastAsia" w:ascii="宋体" w:eastAsia="宋体" w:cs="宋体"/>
          <w:color w:val="auto"/>
          <w:sz w:val="24"/>
          <w:lang w:val="en-US" w:eastAsia="zh-CN"/>
        </w:rPr>
      </w:pPr>
      <w:r>
        <w:rPr>
          <w:rFonts w:hint="eastAsia" w:ascii="宋体" w:eastAsia="宋体" w:cs="宋体"/>
          <w:color w:val="auto"/>
          <w:sz w:val="24"/>
          <w:lang w:val="en-US" w:eastAsia="zh-CN"/>
        </w:rPr>
        <w:t>2.</w:t>
      </w:r>
      <w:r>
        <w:rPr>
          <w:rFonts w:hint="eastAsia" w:ascii="宋体" w:eastAsia="宋体" w:cs="宋体"/>
          <w:color w:val="auto"/>
          <w:sz w:val="24"/>
        </w:rPr>
        <w:t>供应商所推荐的产品和技术参数有先进的，可以文字进行描述，以供采购人内部择优选择时参考。</w:t>
      </w:r>
      <w:r>
        <w:rPr>
          <w:rFonts w:hint="eastAsia" w:ascii="宋体" w:eastAsia="宋体" w:cs="宋体"/>
          <w:color w:val="auto"/>
          <w:sz w:val="24"/>
          <w:lang w:eastAsia="zh-CN"/>
        </w:rPr>
        <w:t>“</w:t>
      </w:r>
      <w:r>
        <w:rPr>
          <w:rFonts w:hint="eastAsia" w:ascii="宋体" w:eastAsia="宋体" w:cs="宋体"/>
          <w:color w:val="auto"/>
          <w:sz w:val="24"/>
        </w:rPr>
        <w:t>推荐参数</w:t>
      </w:r>
      <w:r>
        <w:rPr>
          <w:rFonts w:hint="eastAsia" w:ascii="宋体" w:eastAsia="宋体" w:cs="宋体"/>
          <w:color w:val="auto"/>
          <w:sz w:val="24"/>
          <w:lang w:eastAsia="zh-CN"/>
        </w:rPr>
        <w:t>”越符合政府采购要求对推荐产品越有利。推荐参数批注关键参数符号，以便突出产品差异化或优势。</w:t>
      </w:r>
    </w:p>
    <w:p>
      <w:pPr>
        <w:pStyle w:val="30"/>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r>
        <w:rPr>
          <w:rFonts w:hint="eastAsia" w:ascii="宋体" w:eastAsia="宋体" w:cs="宋体"/>
          <w:color w:val="auto"/>
          <w:sz w:val="24"/>
          <w:lang w:val="en-US" w:eastAsia="zh-CN"/>
        </w:rPr>
        <w:t>3.</w:t>
      </w:r>
      <w:r>
        <w:rPr>
          <w:rFonts w:hint="eastAsia" w:ascii="宋体" w:eastAsia="宋体" w:cs="宋体"/>
          <w:color w:val="auto"/>
          <w:sz w:val="24"/>
        </w:rPr>
        <w:t>留下技术人员联系方式，在择优过程中，采购人有可能电话垂询。</w:t>
      </w:r>
    </w:p>
    <w:p>
      <w:pPr>
        <w:pStyle w:val="30"/>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p>
    <w:p>
      <w:pPr>
        <w:pStyle w:val="30"/>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p>
    <w:p>
      <w:pPr>
        <w:pStyle w:val="30"/>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p>
    <w:p>
      <w:pPr>
        <w:pStyle w:val="30"/>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p>
    <w:p>
      <w:pPr>
        <w:pStyle w:val="30"/>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p>
    <w:p>
      <w:pPr>
        <w:pStyle w:val="30"/>
        <w:numPr>
          <w:ilvl w:val="0"/>
          <w:numId w:val="0"/>
        </w:numPr>
        <w:tabs>
          <w:tab w:val="left" w:pos="0"/>
          <w:tab w:val="clear" w:pos="420"/>
        </w:tabs>
        <w:spacing w:before="120" w:after="120" w:line="460" w:lineRule="exact"/>
        <w:ind w:leftChars="0"/>
        <w:jc w:val="left"/>
        <w:rPr>
          <w:rFonts w:hint="eastAsia" w:ascii="宋体" w:eastAsia="宋体" w:cs="宋体"/>
          <w:color w:val="auto"/>
          <w:sz w:val="24"/>
        </w:rPr>
      </w:pPr>
    </w:p>
    <w:p>
      <w:pPr>
        <w:pStyle w:val="29"/>
        <w:rPr>
          <w:rFonts w:hint="eastAsia" w:ascii="宋体" w:hAnsi="宋体"/>
          <w:b/>
          <w:bCs/>
          <w:color w:val="auto"/>
          <w:sz w:val="22"/>
          <w:szCs w:val="22"/>
          <w:lang w:val="en-US" w:eastAsia="zh-CN"/>
        </w:rPr>
      </w:pPr>
    </w:p>
    <w:p>
      <w:pPr>
        <w:pStyle w:val="27"/>
        <w:ind w:left="0" w:leftChars="0" w:firstLine="0" w:firstLineChars="0"/>
        <w:rPr>
          <w:rFonts w:hint="default" w:ascii="宋体" w:hAnsi="宋体" w:eastAsia="宋体" w:cs="宋体"/>
          <w:b w:val="0"/>
          <w:bCs w:val="0"/>
          <w:color w:val="auto"/>
          <w:kern w:val="2"/>
          <w:sz w:val="22"/>
          <w:szCs w:val="22"/>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78FD5"/>
    <w:multiLevelType w:val="singleLevel"/>
    <w:tmpl w:val="18178FD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MmNhMjAzY2EzNDA1NTE1YzA0MzE3YmQyZjY5NmEifQ=="/>
    <w:docVar w:name="KSO_WPS_MARK_KEY" w:val="659e8c23-4adb-49ee-bf77-34c0e9efff38"/>
  </w:docVars>
  <w:rsids>
    <w:rsidRoot w:val="69F425C5"/>
    <w:rsid w:val="00CE771D"/>
    <w:rsid w:val="019729AA"/>
    <w:rsid w:val="03EC3B5B"/>
    <w:rsid w:val="05184F9C"/>
    <w:rsid w:val="06A116ED"/>
    <w:rsid w:val="084D4ABE"/>
    <w:rsid w:val="09AE7043"/>
    <w:rsid w:val="0BA525D8"/>
    <w:rsid w:val="0EA25465"/>
    <w:rsid w:val="15116BD7"/>
    <w:rsid w:val="151E215B"/>
    <w:rsid w:val="16AD214A"/>
    <w:rsid w:val="17AA4FF0"/>
    <w:rsid w:val="18637245"/>
    <w:rsid w:val="19143FA0"/>
    <w:rsid w:val="1D0E33F3"/>
    <w:rsid w:val="1F935DC1"/>
    <w:rsid w:val="25496D80"/>
    <w:rsid w:val="25FC0296"/>
    <w:rsid w:val="281C2F00"/>
    <w:rsid w:val="28610094"/>
    <w:rsid w:val="2B517215"/>
    <w:rsid w:val="2B550868"/>
    <w:rsid w:val="2C7D4F75"/>
    <w:rsid w:val="2CD07D87"/>
    <w:rsid w:val="2DDC3CCB"/>
    <w:rsid w:val="2E1D7A7F"/>
    <w:rsid w:val="30541D3A"/>
    <w:rsid w:val="306F38DB"/>
    <w:rsid w:val="315E0057"/>
    <w:rsid w:val="3180659B"/>
    <w:rsid w:val="33151D2D"/>
    <w:rsid w:val="337022C4"/>
    <w:rsid w:val="343862F9"/>
    <w:rsid w:val="34A71D15"/>
    <w:rsid w:val="36A12A74"/>
    <w:rsid w:val="3B6D301C"/>
    <w:rsid w:val="3E267042"/>
    <w:rsid w:val="3F5A7D53"/>
    <w:rsid w:val="41932DB8"/>
    <w:rsid w:val="45385990"/>
    <w:rsid w:val="47356D0C"/>
    <w:rsid w:val="48483754"/>
    <w:rsid w:val="493E459E"/>
    <w:rsid w:val="52412CB4"/>
    <w:rsid w:val="5B5B0FE0"/>
    <w:rsid w:val="5E9408AA"/>
    <w:rsid w:val="6043016A"/>
    <w:rsid w:val="64A82DBC"/>
    <w:rsid w:val="68227E19"/>
    <w:rsid w:val="69B760D8"/>
    <w:rsid w:val="69F425C5"/>
    <w:rsid w:val="6D0132E6"/>
    <w:rsid w:val="6D081B67"/>
    <w:rsid w:val="755F4A7A"/>
    <w:rsid w:val="769218F6"/>
    <w:rsid w:val="777E5D28"/>
    <w:rsid w:val="7B2A43C5"/>
    <w:rsid w:val="7DA20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1"/>
    <w:qFormat/>
    <w:uiPriority w:val="0"/>
    <w:pPr>
      <w:keepNext/>
      <w:keepLines/>
      <w:spacing w:before="20" w:after="20" w:line="240" w:lineRule="auto"/>
      <w:outlineLvl w:val="0"/>
    </w:pPr>
    <w:rPr>
      <w:rFonts w:ascii="Times New Roman" w:hAnsi="Times New Roman" w:eastAsia="宋体"/>
      <w:b/>
      <w:bCs/>
      <w:kern w:val="44"/>
      <w:sz w:val="32"/>
      <w:szCs w:val="44"/>
    </w:rPr>
  </w:style>
  <w:style w:type="paragraph" w:styleId="4">
    <w:name w:val="heading 2"/>
    <w:basedOn w:val="1"/>
    <w:next w:val="1"/>
    <w:link w:val="26"/>
    <w:autoRedefine/>
    <w:semiHidden/>
    <w:unhideWhenUsed/>
    <w:qFormat/>
    <w:uiPriority w:val="0"/>
    <w:pPr>
      <w:keepNext/>
      <w:keepLines/>
      <w:spacing w:before="20" w:after="20" w:line="240" w:lineRule="auto"/>
      <w:outlineLvl w:val="1"/>
    </w:pPr>
    <w:rPr>
      <w:rFonts w:ascii="Arial" w:hAnsi="Arial" w:eastAsia="宋体"/>
      <w:b/>
      <w:bCs/>
      <w:kern w:val="0"/>
      <w:sz w:val="24"/>
      <w:szCs w:val="32"/>
    </w:rPr>
  </w:style>
  <w:style w:type="paragraph" w:styleId="5">
    <w:name w:val="heading 3"/>
    <w:basedOn w:val="1"/>
    <w:next w:val="1"/>
    <w:link w:val="22"/>
    <w:autoRedefine/>
    <w:semiHidden/>
    <w:unhideWhenUsed/>
    <w:qFormat/>
    <w:uiPriority w:val="0"/>
    <w:pPr>
      <w:keepNext/>
      <w:keepLines/>
      <w:spacing w:before="20" w:after="20" w:line="240" w:lineRule="auto"/>
      <w:outlineLvl w:val="2"/>
    </w:pPr>
    <w:rPr>
      <w:rFonts w:ascii="Times New Roman" w:hAnsi="Times New Roman" w:eastAsia="宋体"/>
      <w:b/>
      <w:bCs/>
      <w:sz w:val="21"/>
      <w:szCs w:val="32"/>
    </w:rPr>
  </w:style>
  <w:style w:type="paragraph" w:styleId="6">
    <w:name w:val="heading 4"/>
    <w:basedOn w:val="1"/>
    <w:next w:val="7"/>
    <w:link w:val="23"/>
    <w:semiHidden/>
    <w:unhideWhenUsed/>
    <w:qFormat/>
    <w:uiPriority w:val="0"/>
    <w:pPr>
      <w:keepNext/>
      <w:keepLines/>
      <w:spacing w:before="20" w:after="20" w:line="240" w:lineRule="auto"/>
      <w:outlineLvl w:val="3"/>
    </w:pPr>
    <w:rPr>
      <w:rFonts w:ascii="Cambria" w:hAnsi="Cambria" w:eastAsia="宋体"/>
      <w:b/>
      <w:bCs/>
      <w:sz w:val="21"/>
      <w:szCs w:val="28"/>
    </w:rPr>
  </w:style>
  <w:style w:type="paragraph" w:styleId="8">
    <w:name w:val="heading 5"/>
    <w:basedOn w:val="1"/>
    <w:next w:val="1"/>
    <w:link w:val="24"/>
    <w:autoRedefine/>
    <w:semiHidden/>
    <w:unhideWhenUsed/>
    <w:qFormat/>
    <w:uiPriority w:val="0"/>
    <w:pPr>
      <w:keepNext/>
      <w:keepLines/>
      <w:spacing w:before="20" w:after="20" w:line="240" w:lineRule="auto"/>
      <w:outlineLvl w:val="4"/>
    </w:pPr>
    <w:rPr>
      <w:rFonts w:ascii="Times New Roman" w:hAnsi="Times New Roman" w:eastAsia="宋体"/>
      <w:b/>
      <w:bCs/>
      <w:sz w:val="21"/>
      <w:szCs w:val="28"/>
    </w:rPr>
  </w:style>
  <w:style w:type="paragraph" w:styleId="9">
    <w:name w:val="heading 6"/>
    <w:basedOn w:val="1"/>
    <w:next w:val="1"/>
    <w:link w:val="25"/>
    <w:autoRedefine/>
    <w:semiHidden/>
    <w:unhideWhenUsed/>
    <w:qFormat/>
    <w:uiPriority w:val="0"/>
    <w:pPr>
      <w:keepNext/>
      <w:keepLines/>
      <w:adjustRightInd w:val="0"/>
      <w:spacing w:before="20" w:after="20" w:line="240" w:lineRule="auto"/>
      <w:textAlignment w:val="baseline"/>
      <w:outlineLvl w:val="5"/>
    </w:pPr>
    <w:rPr>
      <w:rFonts w:ascii="Arial" w:hAnsi="Arial" w:eastAsia="宋体"/>
      <w:b/>
      <w:sz w:val="21"/>
      <w:szCs w:val="24"/>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 w:type="paragraph" w:styleId="7">
    <w:name w:val="Normal Indent"/>
    <w:basedOn w:val="1"/>
    <w:autoRedefine/>
    <w:qFormat/>
    <w:uiPriority w:val="0"/>
    <w:pPr>
      <w:ind w:firstLine="420" w:firstLineChars="200"/>
    </w:pPr>
  </w:style>
  <w:style w:type="paragraph" w:styleId="10">
    <w:name w:val="toa heading"/>
    <w:basedOn w:val="1"/>
    <w:next w:val="1"/>
    <w:qFormat/>
    <w:uiPriority w:val="0"/>
    <w:pPr>
      <w:spacing w:before="120" w:beforeLines="0" w:beforeAutospacing="0"/>
    </w:pPr>
    <w:rPr>
      <w:rFonts w:ascii="Arial" w:hAnsi="Arial"/>
      <w:sz w:val="24"/>
    </w:rPr>
  </w:style>
  <w:style w:type="paragraph" w:styleId="11">
    <w:name w:val="Body Text Indent"/>
    <w:basedOn w:val="1"/>
    <w:autoRedefine/>
    <w:qFormat/>
    <w:uiPriority w:val="0"/>
    <w:pPr>
      <w:spacing w:after="120"/>
      <w:ind w:left="420" w:leftChars="200"/>
    </w:pPr>
    <w:rPr>
      <w:szCs w:val="20"/>
    </w:rPr>
  </w:style>
  <w:style w:type="paragraph" w:styleId="12">
    <w:name w:val="Plain Text"/>
    <w:basedOn w:val="1"/>
    <w:autoRedefine/>
    <w:qFormat/>
    <w:uiPriority w:val="0"/>
    <w:rPr>
      <w:rFonts w:ascii="宋体" w:hAnsi="Courier New" w:eastAsia="宋体" w:cs="Times New Roman"/>
      <w:szCs w:val="21"/>
      <w:lang w:val="zh-CN"/>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rPr>
      <w:rFonts w:ascii="Times New Roman" w:hAnsi="Times New Roman" w:eastAsia="宋体" w:cs="Times New Roman"/>
      <w:sz w:val="24"/>
      <w:szCs w:val="24"/>
    </w:rPr>
  </w:style>
  <w:style w:type="paragraph" w:styleId="16">
    <w:name w:val="Body Text First Indent"/>
    <w:basedOn w:val="2"/>
    <w:autoRedefine/>
    <w:unhideWhenUsed/>
    <w:qFormat/>
    <w:uiPriority w:val="0"/>
    <w:pPr>
      <w:spacing w:line="259" w:lineRule="auto"/>
      <w:ind w:firstLine="420" w:firstLineChars="1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666"/>
    <w:basedOn w:val="1"/>
    <w:qFormat/>
    <w:uiPriority w:val="0"/>
    <w:pPr>
      <w:spacing w:after="120"/>
      <w:jc w:val="center"/>
    </w:pPr>
    <w:rPr>
      <w:rFonts w:hint="eastAsia" w:ascii="宋体" w:hAnsi="宋体" w:cs="宋体"/>
      <w:b/>
      <w:bCs/>
      <w:iCs/>
      <w:kern w:val="0"/>
      <w:sz w:val="24"/>
      <w:szCs w:val="32"/>
    </w:rPr>
  </w:style>
  <w:style w:type="character" w:customStyle="1" w:styleId="21">
    <w:name w:val="标题 1 Char"/>
    <w:link w:val="3"/>
    <w:autoRedefine/>
    <w:qFormat/>
    <w:uiPriority w:val="0"/>
    <w:rPr>
      <w:rFonts w:ascii="Times New Roman" w:hAnsi="Times New Roman" w:eastAsia="宋体"/>
      <w:b/>
      <w:bCs/>
      <w:kern w:val="44"/>
      <w:sz w:val="32"/>
      <w:szCs w:val="44"/>
    </w:rPr>
  </w:style>
  <w:style w:type="character" w:customStyle="1" w:styleId="22">
    <w:name w:val="标题 3 Char"/>
    <w:link w:val="5"/>
    <w:autoRedefine/>
    <w:qFormat/>
    <w:uiPriority w:val="9"/>
    <w:rPr>
      <w:rFonts w:ascii="Times New Roman" w:hAnsi="Times New Roman" w:eastAsia="宋体"/>
      <w:b/>
      <w:bCs/>
      <w:kern w:val="2"/>
      <w:sz w:val="21"/>
      <w:szCs w:val="32"/>
    </w:rPr>
  </w:style>
  <w:style w:type="character" w:customStyle="1" w:styleId="23">
    <w:name w:val="标题 4 Char"/>
    <w:link w:val="6"/>
    <w:qFormat/>
    <w:uiPriority w:val="0"/>
    <w:rPr>
      <w:rFonts w:ascii="Cambria" w:hAnsi="Cambria" w:eastAsia="宋体"/>
      <w:b/>
      <w:bCs/>
      <w:kern w:val="2"/>
      <w:sz w:val="21"/>
      <w:szCs w:val="28"/>
    </w:rPr>
  </w:style>
  <w:style w:type="character" w:customStyle="1" w:styleId="24">
    <w:name w:val="标题 5 Char"/>
    <w:link w:val="8"/>
    <w:autoRedefine/>
    <w:qFormat/>
    <w:uiPriority w:val="0"/>
    <w:rPr>
      <w:rFonts w:ascii="Times New Roman" w:hAnsi="Times New Roman" w:eastAsia="宋体"/>
      <w:b/>
      <w:bCs/>
      <w:kern w:val="2"/>
      <w:sz w:val="21"/>
      <w:szCs w:val="28"/>
    </w:rPr>
  </w:style>
  <w:style w:type="character" w:customStyle="1" w:styleId="25">
    <w:name w:val="标题 6 Char"/>
    <w:link w:val="9"/>
    <w:autoRedefine/>
    <w:qFormat/>
    <w:uiPriority w:val="0"/>
    <w:rPr>
      <w:rFonts w:ascii="Arial" w:hAnsi="Arial" w:eastAsia="宋体"/>
      <w:b/>
      <w:kern w:val="2"/>
      <w:sz w:val="21"/>
      <w:szCs w:val="24"/>
    </w:rPr>
  </w:style>
  <w:style w:type="character" w:customStyle="1" w:styleId="26">
    <w:name w:val="标题 2 Char"/>
    <w:link w:val="4"/>
    <w:qFormat/>
    <w:uiPriority w:val="0"/>
    <w:rPr>
      <w:rFonts w:ascii="Arial" w:hAnsi="Arial" w:eastAsia="宋体"/>
      <w:b/>
      <w:bCs/>
      <w:sz w:val="24"/>
      <w:szCs w:val="32"/>
    </w:rPr>
  </w:style>
  <w:style w:type="paragraph" w:customStyle="1" w:styleId="27">
    <w:name w:val="段落正文"/>
    <w:basedOn w:val="10"/>
    <w:autoRedefine/>
    <w:qFormat/>
    <w:uiPriority w:val="0"/>
    <w:pPr>
      <w:spacing w:before="50" w:beforeLines="50" w:line="240" w:lineRule="auto"/>
      <w:ind w:firstLine="200" w:firstLineChars="200"/>
    </w:pPr>
    <w:rPr>
      <w:rFonts w:ascii="Arial" w:hAnsi="Arial" w:eastAsia="宋体" w:cs="Times New Roman"/>
      <w:spacing w:val="2"/>
      <w:sz w:val="28"/>
      <w:szCs w:val="20"/>
    </w:rPr>
  </w:style>
  <w:style w:type="paragraph" w:customStyle="1" w:styleId="28">
    <w:name w:val="List Paragraph"/>
    <w:basedOn w:val="1"/>
    <w:autoRedefine/>
    <w:qFormat/>
    <w:uiPriority w:val="34"/>
    <w:pPr>
      <w:ind w:firstLine="420" w:firstLineChars="200"/>
    </w:pPr>
  </w:style>
  <w:style w:type="paragraph" w:customStyle="1" w:styleId="29">
    <w:name w:val="BodyText"/>
    <w:basedOn w:val="1"/>
    <w:autoRedefine/>
    <w:qFormat/>
    <w:uiPriority w:val="0"/>
    <w:pPr>
      <w:spacing w:after="120" w:line="240" w:lineRule="auto"/>
      <w:jc w:val="both"/>
    </w:pPr>
  </w:style>
  <w:style w:type="paragraph" w:customStyle="1" w:styleId="30">
    <w:name w:val="(符号)三标题1.1"/>
    <w:basedOn w:val="1"/>
    <w:autoRedefine/>
    <w:qFormat/>
    <w:uiPriority w:val="0"/>
    <w:pPr>
      <w:tabs>
        <w:tab w:val="left" w:pos="420"/>
      </w:tabs>
      <w:spacing w:before="140" w:beforeLines="0" w:after="140" w:afterLines="0" w:line="500" w:lineRule="exact"/>
      <w:ind w:left="430" w:hanging="430"/>
      <w:outlineLvl w:val="2"/>
    </w:pPr>
    <w:rPr>
      <w:rFonts w:ascii="楷体_GB2312" w:hAnsi="宋体" w:eastAsia="楷体_GB2312"/>
      <w:b/>
      <w:bCs/>
      <w:sz w:val="28"/>
    </w:rPr>
  </w:style>
  <w:style w:type="paragraph" w:customStyle="1" w:styleId="31">
    <w:name w:val="正文首行缩进两字符"/>
    <w:basedOn w:val="1"/>
    <w:next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5888</Words>
  <Characters>6290</Characters>
  <Lines>0</Lines>
  <Paragraphs>0</Paragraphs>
  <TotalTime>2</TotalTime>
  <ScaleCrop>false</ScaleCrop>
  <LinksUpToDate>false</LinksUpToDate>
  <CharactersWithSpaces>6472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2023-03-24T08:07:00Z</dcterms:created>
  <dc:creator>Administrator</dc:creator>
  <cp:lastModifiedBy>蕾羞 ～</cp:lastModifiedBy>
  <dcterms:modified xsi:type="dcterms:W3CDTF">2024-03-28T02:46:11Z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7A1B6A16718F4B17862BA2C67AFEF819_13</vt:lpwstr>
  </property>
</Properties>
</file>