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华文中宋" w:hAnsi="华文中宋" w:eastAsia="华文中宋" w:cs="宋体"/>
          <w:b/>
          <w:color w:val="auto"/>
          <w:spacing w:val="-40"/>
          <w:sz w:val="18"/>
          <w:szCs w:val="18"/>
        </w:rPr>
      </w:pPr>
      <w:bookmarkStart w:id="177" w:name="_GoBack"/>
      <w:bookmarkEnd w:id="177"/>
    </w:p>
    <w:p>
      <w:pPr>
        <w:pStyle w:val="17"/>
        <w:rPr>
          <w:rFonts w:hint="default" w:hAnsi="宋体" w:eastAsia="宋体" w:cs="宋体"/>
          <w:b/>
          <w:bCs/>
          <w:color w:val="auto"/>
          <w:sz w:val="28"/>
          <w:szCs w:val="28"/>
          <w:lang w:val="en-US" w:eastAsia="zh-CN"/>
        </w:rPr>
      </w:pPr>
      <w:r>
        <w:rPr>
          <w:rFonts w:hint="eastAsia" w:hAnsi="宋体" w:cs="宋体"/>
          <w:b/>
          <w:bCs/>
          <w:color w:val="auto"/>
          <w:sz w:val="28"/>
          <w:szCs w:val="28"/>
        </w:rPr>
        <w:t>项目编号：</w:t>
      </w:r>
      <w:r>
        <w:rPr>
          <w:rFonts w:hint="eastAsia" w:hAnsi="宋体" w:cs="宋体"/>
          <w:b/>
          <w:bCs/>
          <w:color w:val="auto"/>
          <w:sz w:val="28"/>
          <w:szCs w:val="28"/>
          <w:lang w:val="en-US" w:eastAsia="zh-CN"/>
        </w:rPr>
        <w:t>GLXZYYY202</w:t>
      </w:r>
      <w:r>
        <w:rPr>
          <w:rFonts w:hint="default" w:hAnsi="宋体" w:cs="宋体"/>
          <w:b/>
          <w:bCs/>
          <w:color w:val="auto"/>
          <w:sz w:val="28"/>
          <w:szCs w:val="28"/>
          <w:lang w:val="en-US" w:eastAsia="zh-CN"/>
        </w:rPr>
        <w:t>4</w:t>
      </w:r>
      <w:r>
        <w:rPr>
          <w:rFonts w:hint="eastAsia" w:hAnsi="宋体" w:cs="宋体"/>
          <w:b/>
          <w:bCs/>
          <w:color w:val="auto"/>
          <w:sz w:val="28"/>
          <w:szCs w:val="28"/>
          <w:lang w:val="en-US" w:eastAsia="zh-CN"/>
        </w:rPr>
        <w:t>0</w:t>
      </w:r>
      <w:r>
        <w:rPr>
          <w:rFonts w:hint="default" w:hAnsi="宋体" w:cs="宋体"/>
          <w:b/>
          <w:bCs/>
          <w:color w:val="auto"/>
          <w:sz w:val="28"/>
          <w:szCs w:val="28"/>
          <w:lang w:val="en-US" w:eastAsia="zh-CN"/>
        </w:rPr>
        <w:t>7</w:t>
      </w:r>
      <w:r>
        <w:rPr>
          <w:rFonts w:hint="eastAsia" w:hAnsi="宋体" w:cs="宋体"/>
          <w:b/>
          <w:bCs/>
          <w:color w:val="auto"/>
          <w:sz w:val="28"/>
          <w:szCs w:val="28"/>
          <w:lang w:val="en-US" w:eastAsia="zh-CN"/>
        </w:rPr>
        <w:t>001</w:t>
      </w:r>
    </w:p>
    <w:p>
      <w:pPr>
        <w:spacing w:line="480" w:lineRule="auto"/>
        <w:ind w:left="581" w:leftChars="171" w:right="537" w:rightChars="158"/>
        <w:jc w:val="center"/>
        <w:rPr>
          <w:b/>
          <w:color w:val="auto"/>
          <w:sz w:val="48"/>
          <w:szCs w:val="44"/>
        </w:rPr>
      </w:pPr>
    </w:p>
    <w:p>
      <w:pPr>
        <w:spacing w:line="480" w:lineRule="auto"/>
        <w:ind w:left="581" w:leftChars="171" w:right="537" w:rightChars="158"/>
        <w:jc w:val="center"/>
        <w:rPr>
          <w:b/>
          <w:color w:val="auto"/>
          <w:sz w:val="48"/>
          <w:szCs w:val="44"/>
        </w:rPr>
      </w:pPr>
    </w:p>
    <w:p>
      <w:pPr>
        <w:pStyle w:val="17"/>
        <w:jc w:val="center"/>
        <w:rPr>
          <w:color w:val="auto"/>
        </w:rPr>
      </w:pPr>
      <w:r>
        <w:rPr>
          <w:rFonts w:hint="eastAsia"/>
          <w:b/>
          <w:color w:val="auto"/>
          <w:sz w:val="56"/>
          <w:szCs w:val="52"/>
        </w:rPr>
        <w:t>古蔺县中医医院检验试剂配送服务比选采购项目</w:t>
      </w:r>
    </w:p>
    <w:p>
      <w:pPr>
        <w:pStyle w:val="56"/>
        <w:ind w:left="0"/>
        <w:jc w:val="both"/>
        <w:rPr>
          <w:color w:val="auto"/>
          <w:sz w:val="20"/>
          <w:szCs w:val="18"/>
        </w:rPr>
      </w:pPr>
    </w:p>
    <w:p>
      <w:pPr>
        <w:spacing w:line="480" w:lineRule="auto"/>
        <w:ind w:left="581" w:leftChars="171" w:right="537" w:rightChars="158"/>
        <w:jc w:val="center"/>
        <w:rPr>
          <w:rFonts w:ascii="华文中宋" w:hAnsi="华文中宋" w:eastAsia="华文中宋" w:cs="宋体"/>
          <w:b/>
          <w:color w:val="auto"/>
          <w:sz w:val="56"/>
          <w:szCs w:val="18"/>
        </w:rPr>
      </w:pPr>
    </w:p>
    <w:p>
      <w:pPr>
        <w:spacing w:line="480" w:lineRule="auto"/>
        <w:ind w:left="581" w:leftChars="171" w:right="537" w:rightChars="158"/>
        <w:jc w:val="center"/>
        <w:rPr>
          <w:rFonts w:ascii="华文中宋" w:hAnsi="华文中宋" w:eastAsia="华文中宋" w:cs="宋体"/>
          <w:b/>
          <w:color w:val="auto"/>
          <w:sz w:val="56"/>
          <w:szCs w:val="18"/>
        </w:rPr>
      </w:pPr>
      <w:r>
        <w:rPr>
          <w:rFonts w:hint="eastAsia" w:ascii="华文中宋" w:hAnsi="华文中宋" w:eastAsia="华文中宋" w:cs="宋体"/>
          <w:b/>
          <w:color w:val="auto"/>
          <w:sz w:val="56"/>
          <w:szCs w:val="18"/>
        </w:rPr>
        <w:t>比</w:t>
      </w:r>
    </w:p>
    <w:p>
      <w:pPr>
        <w:spacing w:line="480" w:lineRule="auto"/>
        <w:ind w:left="581" w:leftChars="171" w:right="537" w:rightChars="158"/>
        <w:jc w:val="center"/>
        <w:rPr>
          <w:rFonts w:ascii="华文中宋" w:hAnsi="华文中宋" w:eastAsia="华文中宋" w:cs="宋体"/>
          <w:b/>
          <w:color w:val="auto"/>
          <w:sz w:val="56"/>
          <w:szCs w:val="18"/>
        </w:rPr>
      </w:pPr>
      <w:r>
        <w:rPr>
          <w:rFonts w:hint="eastAsia" w:ascii="华文中宋" w:hAnsi="华文中宋" w:eastAsia="华文中宋" w:cs="宋体"/>
          <w:b/>
          <w:color w:val="auto"/>
          <w:sz w:val="56"/>
          <w:szCs w:val="18"/>
        </w:rPr>
        <w:t>选</w:t>
      </w:r>
    </w:p>
    <w:p>
      <w:pPr>
        <w:spacing w:line="480" w:lineRule="auto"/>
        <w:ind w:left="581" w:leftChars="171" w:right="537" w:rightChars="158"/>
        <w:jc w:val="center"/>
        <w:rPr>
          <w:rFonts w:ascii="华文中宋" w:hAnsi="华文中宋" w:eastAsia="华文中宋" w:cs="宋体"/>
          <w:b/>
          <w:color w:val="auto"/>
          <w:sz w:val="56"/>
          <w:szCs w:val="18"/>
        </w:rPr>
      </w:pPr>
      <w:r>
        <w:rPr>
          <w:rFonts w:hint="eastAsia" w:ascii="华文中宋" w:hAnsi="华文中宋" w:eastAsia="华文中宋" w:cs="宋体"/>
          <w:b/>
          <w:color w:val="auto"/>
          <w:sz w:val="56"/>
          <w:szCs w:val="18"/>
        </w:rPr>
        <w:t>文</w:t>
      </w:r>
    </w:p>
    <w:p>
      <w:pPr>
        <w:spacing w:line="480" w:lineRule="auto"/>
        <w:ind w:left="581" w:leftChars="171" w:right="537" w:rightChars="158"/>
        <w:jc w:val="center"/>
        <w:rPr>
          <w:rFonts w:ascii="华文中宋" w:hAnsi="华文中宋" w:eastAsia="华文中宋" w:cs="宋体"/>
          <w:b/>
          <w:color w:val="auto"/>
          <w:sz w:val="56"/>
          <w:szCs w:val="18"/>
        </w:rPr>
      </w:pPr>
      <w:r>
        <w:rPr>
          <w:rFonts w:hint="eastAsia" w:ascii="华文中宋" w:hAnsi="华文中宋" w:eastAsia="华文中宋" w:cs="宋体"/>
          <w:b/>
          <w:color w:val="auto"/>
          <w:sz w:val="56"/>
          <w:szCs w:val="18"/>
        </w:rPr>
        <w:t>件</w:t>
      </w:r>
    </w:p>
    <w:p>
      <w:pPr>
        <w:jc w:val="center"/>
        <w:rPr>
          <w:rFonts w:ascii="华文中宋" w:hAnsi="华文中宋" w:eastAsia="华文中宋" w:cs="宋体"/>
          <w:b/>
          <w:color w:val="auto"/>
          <w:sz w:val="30"/>
          <w:szCs w:val="30"/>
        </w:rPr>
      </w:pPr>
      <w:bookmarkStart w:id="0" w:name="_Hlt101843627"/>
      <w:bookmarkEnd w:id="0"/>
      <w:bookmarkStart w:id="1" w:name="_Hlt101233737"/>
      <w:bookmarkEnd w:id="1"/>
      <w:bookmarkStart w:id="2" w:name="_Toc217446030"/>
      <w:bookmarkStart w:id="3" w:name="_Toc183682338"/>
    </w:p>
    <w:p>
      <w:pPr>
        <w:pStyle w:val="17"/>
        <w:rPr>
          <w:color w:val="auto"/>
        </w:rPr>
      </w:pPr>
    </w:p>
    <w:p>
      <w:pPr>
        <w:jc w:val="center"/>
        <w:rPr>
          <w:rFonts w:hint="eastAsia" w:ascii="华文中宋" w:hAnsi="华文中宋" w:eastAsia="华文中宋" w:cs="宋体"/>
          <w:b/>
          <w:color w:val="auto"/>
          <w:sz w:val="32"/>
          <w:szCs w:val="32"/>
          <w:lang w:eastAsia="zh-CN"/>
        </w:rPr>
      </w:pPr>
      <w:r>
        <w:rPr>
          <w:rFonts w:hint="eastAsia" w:ascii="华文中宋" w:hAnsi="华文中宋" w:eastAsia="华文中宋" w:cs="宋体"/>
          <w:b/>
          <w:color w:val="auto"/>
          <w:sz w:val="32"/>
          <w:szCs w:val="32"/>
        </w:rPr>
        <w:t xml:space="preserve">  </w:t>
      </w:r>
      <w:r>
        <w:rPr>
          <w:rFonts w:hint="eastAsia" w:ascii="华文中宋" w:hAnsi="华文中宋" w:eastAsia="华文中宋" w:cs="宋体"/>
          <w:b/>
          <w:color w:val="auto"/>
          <w:sz w:val="36"/>
          <w:szCs w:val="36"/>
          <w:lang w:eastAsia="zh-CN"/>
        </w:rPr>
        <w:t>古蔺县中医医院</w:t>
      </w:r>
    </w:p>
    <w:p>
      <w:pPr>
        <w:ind w:right="537" w:rightChars="158"/>
        <w:jc w:val="center"/>
        <w:rPr>
          <w:rFonts w:ascii="华文中宋" w:hAnsi="华文中宋" w:eastAsia="华文中宋" w:cs="宋体"/>
          <w:b/>
          <w:color w:val="auto"/>
          <w:sz w:val="36"/>
          <w:szCs w:val="36"/>
        </w:rPr>
        <w:sectPr>
          <w:headerReference r:id="rId5" w:type="first"/>
          <w:headerReference r:id="rId3" w:type="default"/>
          <w:footerReference r:id="rId6" w:type="default"/>
          <w:headerReference r:id="rId4" w:type="even"/>
          <w:footerReference r:id="rId7" w:type="even"/>
          <w:pgSz w:w="11906" w:h="16838"/>
          <w:pgMar w:top="1400" w:right="1536" w:bottom="1089" w:left="1530" w:header="851" w:footer="595" w:gutter="0"/>
          <w:pgNumType w:start="1"/>
          <w:cols w:space="720" w:num="1"/>
          <w:titlePg/>
          <w:docGrid w:type="linesAndChars" w:linePitch="312" w:charSpace="0"/>
        </w:sectPr>
      </w:pPr>
      <w:r>
        <w:rPr>
          <w:rFonts w:hint="eastAsia" w:ascii="华文中宋" w:hAnsi="华文中宋" w:eastAsia="华文中宋" w:cs="宋体"/>
          <w:b/>
          <w:color w:val="auto"/>
          <w:sz w:val="36"/>
          <w:szCs w:val="36"/>
        </w:rPr>
        <w:t xml:space="preserve">    20</w:t>
      </w:r>
      <w:r>
        <w:rPr>
          <w:rFonts w:hint="eastAsia" w:ascii="华文中宋" w:hAnsi="华文中宋" w:eastAsia="华文中宋" w:cs="宋体"/>
          <w:b/>
          <w:color w:val="auto"/>
          <w:sz w:val="36"/>
          <w:szCs w:val="36"/>
          <w:lang w:val="en-US" w:eastAsia="zh-CN"/>
        </w:rPr>
        <w:t>2</w:t>
      </w:r>
      <w:r>
        <w:rPr>
          <w:rFonts w:hint="default" w:ascii="华文中宋" w:hAnsi="华文中宋" w:eastAsia="华文中宋" w:cs="宋体"/>
          <w:b/>
          <w:color w:val="auto"/>
          <w:sz w:val="36"/>
          <w:szCs w:val="36"/>
          <w:lang w:val="en-US" w:eastAsia="zh-CN"/>
        </w:rPr>
        <w:t>4</w:t>
      </w:r>
      <w:r>
        <w:rPr>
          <w:rFonts w:hint="eastAsia" w:ascii="华文中宋" w:hAnsi="华文中宋" w:eastAsia="华文中宋" w:cs="宋体"/>
          <w:b/>
          <w:color w:val="auto"/>
          <w:sz w:val="36"/>
          <w:szCs w:val="36"/>
        </w:rPr>
        <w:t>年</w:t>
      </w:r>
      <w:r>
        <w:rPr>
          <w:rFonts w:hint="default" w:ascii="华文中宋" w:hAnsi="华文中宋" w:eastAsia="华文中宋" w:cs="宋体"/>
          <w:b/>
          <w:color w:val="auto"/>
          <w:sz w:val="36"/>
          <w:szCs w:val="36"/>
          <w:lang w:val="en-US" w:eastAsia="zh-CN"/>
        </w:rPr>
        <w:t>07</w:t>
      </w:r>
      <w:r>
        <w:rPr>
          <w:rFonts w:hint="eastAsia" w:ascii="华文中宋" w:hAnsi="华文中宋" w:eastAsia="华文中宋" w:cs="宋体"/>
          <w:b/>
          <w:color w:val="auto"/>
          <w:sz w:val="36"/>
          <w:szCs w:val="36"/>
        </w:rPr>
        <w:t>月</w:t>
      </w:r>
    </w:p>
    <w:bookmarkEnd w:id="2"/>
    <w:bookmarkEnd w:id="3"/>
    <w:sdt>
      <w:sdtPr>
        <w:rPr>
          <w:rFonts w:hint="eastAsia" w:ascii="宋体" w:hAnsi="Times New Roman" w:eastAsia="宋体" w:cs="宋体"/>
          <w:b/>
          <w:color w:val="auto"/>
          <w:kern w:val="2"/>
          <w:sz w:val="36"/>
          <w:szCs w:val="22"/>
        </w:rPr>
        <w:id w:val="147472006"/>
        <w:docPartObj>
          <w:docPartGallery w:val="Table of Contents"/>
          <w:docPartUnique/>
        </w:docPartObj>
      </w:sdtPr>
      <w:sdtEndPr>
        <w:rPr>
          <w:rFonts w:hint="eastAsia" w:ascii="宋体" w:hAnsi="Times New Roman" w:eastAsia="宋体" w:cs="Times New Roman"/>
          <w:b/>
          <w:color w:val="auto"/>
          <w:kern w:val="2"/>
          <w:sz w:val="28"/>
          <w:szCs w:val="28"/>
        </w:rPr>
      </w:sdtEndPr>
      <w:sdtContent>
        <w:p>
          <w:pPr>
            <w:pStyle w:val="29"/>
            <w:spacing w:line="360" w:lineRule="auto"/>
            <w:ind w:left="0" w:leftChars="0" w:firstLine="0" w:firstLineChars="0"/>
            <w:jc w:val="center"/>
            <w:outlineLvl w:val="0"/>
            <w:rPr>
              <w:rFonts w:ascii="宋体" w:eastAsia="宋体" w:cs="宋体"/>
              <w:b/>
              <w:color w:val="auto"/>
              <w:kern w:val="2"/>
              <w:sz w:val="36"/>
              <w:szCs w:val="22"/>
            </w:rPr>
          </w:pPr>
          <w:bookmarkStart w:id="4" w:name="_Toc331850008"/>
          <w:bookmarkStart w:id="5" w:name="_Toc7295_WPSOffice_Level1"/>
          <w:bookmarkStart w:id="6" w:name="_Toc213396759"/>
          <w:bookmarkStart w:id="7" w:name="_Toc217446031"/>
          <w:bookmarkStart w:id="8" w:name="_Toc213396945"/>
          <w:bookmarkStart w:id="9" w:name="_Toc213397009"/>
          <w:bookmarkStart w:id="10" w:name="_Toc213496267"/>
          <w:bookmarkStart w:id="11" w:name="_Toc183682339"/>
          <w:bookmarkStart w:id="12" w:name="_Toc183582202"/>
          <w:bookmarkStart w:id="13" w:name="_Toc77400776"/>
          <w:bookmarkStart w:id="14" w:name="_Toc89075871"/>
          <w:r>
            <w:rPr>
              <w:rFonts w:hint="eastAsia" w:ascii="宋体" w:eastAsia="宋体" w:cs="宋体"/>
              <w:b/>
              <w:color w:val="auto"/>
              <w:kern w:val="2"/>
              <w:sz w:val="36"/>
              <w:szCs w:val="22"/>
            </w:rPr>
            <w:t>目  录</w:t>
          </w:r>
        </w:p>
        <w:p>
          <w:pPr>
            <w:pStyle w:val="83"/>
            <w:tabs>
              <w:tab w:val="right" w:leader="dot" w:pos="8840"/>
            </w:tabs>
            <w:spacing w:line="360" w:lineRule="auto"/>
            <w:rPr>
              <w:color w:val="auto"/>
              <w:sz w:val="28"/>
              <w:szCs w:val="28"/>
            </w:rPr>
          </w:pPr>
          <w:r>
            <w:rPr>
              <w:rFonts w:hint="eastAsia"/>
              <w:color w:val="auto"/>
              <w:sz w:val="28"/>
              <w:szCs w:val="28"/>
            </w:rPr>
            <w:fldChar w:fldCharType="begin"/>
          </w:r>
          <w:r>
            <w:rPr>
              <w:rFonts w:hint="eastAsia"/>
              <w:color w:val="auto"/>
              <w:sz w:val="28"/>
              <w:szCs w:val="28"/>
            </w:rPr>
            <w:instrText xml:space="preserve">TOC \o "1-1" \h \u </w:instrText>
          </w:r>
          <w:r>
            <w:rPr>
              <w:rFonts w:hint="eastAsia"/>
              <w:color w:val="auto"/>
              <w:sz w:val="28"/>
              <w:szCs w:val="28"/>
            </w:rPr>
            <w:fldChar w:fldCharType="separate"/>
          </w:r>
          <w:r>
            <w:rPr>
              <w:color w:val="auto"/>
            </w:rPr>
            <w:fldChar w:fldCharType="begin"/>
          </w:r>
          <w:r>
            <w:rPr>
              <w:color w:val="auto"/>
            </w:rPr>
            <w:instrText xml:space="preserve"> HYPERLINK \l "_Toc21110" </w:instrText>
          </w:r>
          <w:r>
            <w:rPr>
              <w:color w:val="auto"/>
            </w:rPr>
            <w:fldChar w:fldCharType="separate"/>
          </w:r>
          <w:r>
            <w:rPr>
              <w:rFonts w:hint="eastAsia" w:ascii="宋体" w:cs="宋体"/>
              <w:color w:val="auto"/>
              <w:kern w:val="2"/>
              <w:sz w:val="28"/>
              <w:szCs w:val="28"/>
            </w:rPr>
            <w:t>第一章  参选邀请</w:t>
          </w:r>
          <w:r>
            <w:rPr>
              <w:color w:val="auto"/>
              <w:sz w:val="28"/>
              <w:szCs w:val="28"/>
            </w:rPr>
            <w:tab/>
          </w:r>
          <w:r>
            <w:rPr>
              <w:color w:val="auto"/>
              <w:sz w:val="28"/>
              <w:szCs w:val="28"/>
            </w:rPr>
            <w:fldChar w:fldCharType="begin"/>
          </w:r>
          <w:r>
            <w:rPr>
              <w:color w:val="auto"/>
              <w:sz w:val="28"/>
              <w:szCs w:val="28"/>
            </w:rPr>
            <w:instrText xml:space="preserve"> PAGEREF _Toc21110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83"/>
            <w:tabs>
              <w:tab w:val="right" w:leader="dot" w:pos="8840"/>
            </w:tabs>
            <w:spacing w:line="360" w:lineRule="auto"/>
            <w:rPr>
              <w:color w:val="auto"/>
              <w:sz w:val="28"/>
              <w:szCs w:val="28"/>
            </w:rPr>
          </w:pPr>
          <w:r>
            <w:rPr>
              <w:color w:val="auto"/>
            </w:rPr>
            <w:fldChar w:fldCharType="begin"/>
          </w:r>
          <w:r>
            <w:rPr>
              <w:color w:val="auto"/>
            </w:rPr>
            <w:instrText xml:space="preserve"> HYPERLINK \l "_Toc14774" </w:instrText>
          </w:r>
          <w:r>
            <w:rPr>
              <w:color w:val="auto"/>
            </w:rPr>
            <w:fldChar w:fldCharType="separate"/>
          </w:r>
          <w:r>
            <w:rPr>
              <w:rFonts w:hint="eastAsia" w:ascii="宋体" w:hAnsi="宋体" w:cs="宋体"/>
              <w:color w:val="auto"/>
              <w:sz w:val="28"/>
              <w:szCs w:val="28"/>
            </w:rPr>
            <w:t>第二章  供应商须知</w:t>
          </w:r>
          <w:r>
            <w:rPr>
              <w:color w:val="auto"/>
              <w:sz w:val="28"/>
              <w:szCs w:val="28"/>
            </w:rPr>
            <w:tab/>
          </w:r>
          <w:r>
            <w:rPr>
              <w:rFonts w:hint="eastAsia"/>
              <w:color w:val="auto"/>
              <w:sz w:val="28"/>
              <w:szCs w:val="28"/>
            </w:rPr>
            <w:t>4</w:t>
          </w:r>
          <w:r>
            <w:rPr>
              <w:rFonts w:hint="eastAsia"/>
              <w:color w:val="auto"/>
              <w:sz w:val="28"/>
              <w:szCs w:val="28"/>
            </w:rPr>
            <w:fldChar w:fldCharType="end"/>
          </w:r>
        </w:p>
        <w:p>
          <w:pPr>
            <w:pStyle w:val="83"/>
            <w:tabs>
              <w:tab w:val="right" w:leader="dot" w:pos="8840"/>
            </w:tabs>
            <w:spacing w:line="360" w:lineRule="auto"/>
            <w:rPr>
              <w:color w:val="auto"/>
              <w:sz w:val="28"/>
              <w:szCs w:val="28"/>
            </w:rPr>
          </w:pPr>
          <w:r>
            <w:rPr>
              <w:color w:val="auto"/>
            </w:rPr>
            <w:fldChar w:fldCharType="begin"/>
          </w:r>
          <w:r>
            <w:rPr>
              <w:color w:val="auto"/>
            </w:rPr>
            <w:instrText xml:space="preserve"> HYPERLINK \l "_Toc15248" </w:instrText>
          </w:r>
          <w:r>
            <w:rPr>
              <w:color w:val="auto"/>
            </w:rPr>
            <w:fldChar w:fldCharType="separate"/>
          </w:r>
          <w:r>
            <w:rPr>
              <w:rFonts w:hint="eastAsia" w:ascii="宋体" w:hAnsi="宋体" w:cs="宋体"/>
              <w:color w:val="auto"/>
              <w:sz w:val="28"/>
              <w:szCs w:val="28"/>
            </w:rPr>
            <w:t>第三章 参选文件格式</w:t>
          </w:r>
          <w:r>
            <w:rPr>
              <w:color w:val="auto"/>
              <w:sz w:val="28"/>
              <w:szCs w:val="28"/>
            </w:rPr>
            <w:tab/>
          </w:r>
          <w:r>
            <w:rPr>
              <w:rFonts w:hint="eastAsia"/>
              <w:color w:val="auto"/>
              <w:sz w:val="28"/>
              <w:szCs w:val="28"/>
            </w:rPr>
            <w:t>1</w:t>
          </w:r>
          <w:r>
            <w:rPr>
              <w:rFonts w:hint="eastAsia"/>
              <w:color w:val="auto"/>
              <w:sz w:val="28"/>
              <w:szCs w:val="28"/>
            </w:rPr>
            <w:fldChar w:fldCharType="end"/>
          </w:r>
          <w:r>
            <w:rPr>
              <w:rFonts w:hint="eastAsia"/>
              <w:color w:val="auto"/>
              <w:sz w:val="28"/>
              <w:szCs w:val="28"/>
            </w:rPr>
            <w:t>1</w:t>
          </w:r>
        </w:p>
        <w:p>
          <w:pPr>
            <w:pStyle w:val="83"/>
            <w:tabs>
              <w:tab w:val="right" w:leader="dot" w:pos="8840"/>
            </w:tabs>
            <w:spacing w:line="360" w:lineRule="auto"/>
            <w:rPr>
              <w:color w:val="auto"/>
              <w:sz w:val="28"/>
              <w:szCs w:val="28"/>
            </w:rPr>
          </w:pPr>
          <w:r>
            <w:rPr>
              <w:color w:val="auto"/>
            </w:rPr>
            <w:fldChar w:fldCharType="begin"/>
          </w:r>
          <w:r>
            <w:rPr>
              <w:color w:val="auto"/>
            </w:rPr>
            <w:instrText xml:space="preserve"> HYPERLINK \l "_Toc17824" </w:instrText>
          </w:r>
          <w:r>
            <w:rPr>
              <w:color w:val="auto"/>
            </w:rPr>
            <w:fldChar w:fldCharType="separate"/>
          </w:r>
          <w:r>
            <w:rPr>
              <w:rFonts w:hint="eastAsia" w:ascii="宋体" w:hAnsi="宋体" w:cs="宋体"/>
              <w:color w:val="auto"/>
              <w:sz w:val="28"/>
              <w:szCs w:val="28"/>
            </w:rPr>
            <w:t>第四章 供应商应当提供的资格、资质性及其他类似效力要求的相关证明材料</w:t>
          </w:r>
          <w:r>
            <w:rPr>
              <w:color w:val="auto"/>
              <w:sz w:val="28"/>
              <w:szCs w:val="28"/>
            </w:rPr>
            <w:tab/>
          </w:r>
          <w:r>
            <w:rPr>
              <w:rFonts w:hint="eastAsia"/>
              <w:color w:val="auto"/>
              <w:sz w:val="28"/>
              <w:szCs w:val="28"/>
            </w:rPr>
            <w:t>1</w:t>
          </w:r>
          <w:r>
            <w:rPr>
              <w:rFonts w:hint="eastAsia"/>
              <w:color w:val="auto"/>
              <w:sz w:val="28"/>
              <w:szCs w:val="28"/>
            </w:rPr>
            <w:fldChar w:fldCharType="end"/>
          </w:r>
          <w:r>
            <w:rPr>
              <w:rFonts w:hint="eastAsia"/>
              <w:color w:val="auto"/>
              <w:sz w:val="28"/>
              <w:szCs w:val="28"/>
            </w:rPr>
            <w:t>9</w:t>
          </w:r>
        </w:p>
        <w:p>
          <w:pPr>
            <w:pStyle w:val="83"/>
            <w:tabs>
              <w:tab w:val="right" w:leader="dot" w:pos="8840"/>
            </w:tabs>
            <w:spacing w:line="360" w:lineRule="auto"/>
            <w:rPr>
              <w:color w:val="auto"/>
              <w:sz w:val="28"/>
              <w:szCs w:val="28"/>
            </w:rPr>
          </w:pPr>
          <w:r>
            <w:rPr>
              <w:color w:val="auto"/>
            </w:rPr>
            <w:fldChar w:fldCharType="begin"/>
          </w:r>
          <w:r>
            <w:rPr>
              <w:color w:val="auto"/>
            </w:rPr>
            <w:instrText xml:space="preserve"> HYPERLINK \l "_Toc5443" </w:instrText>
          </w:r>
          <w:r>
            <w:rPr>
              <w:color w:val="auto"/>
            </w:rPr>
            <w:fldChar w:fldCharType="separate"/>
          </w:r>
          <w:r>
            <w:rPr>
              <w:rFonts w:hint="eastAsia" w:ascii="宋体" w:hAnsi="宋体" w:cs="宋体"/>
              <w:color w:val="auto"/>
              <w:sz w:val="28"/>
              <w:szCs w:val="28"/>
            </w:rPr>
            <w:t>第五章  比选项目服务及其他要求</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color w:val="auto"/>
              <w:sz w:val="28"/>
              <w:szCs w:val="28"/>
            </w:rPr>
            <w:t>0</w:t>
          </w:r>
        </w:p>
        <w:p>
          <w:pPr>
            <w:pStyle w:val="83"/>
            <w:tabs>
              <w:tab w:val="right" w:leader="dot" w:pos="8840"/>
            </w:tabs>
            <w:spacing w:line="360" w:lineRule="auto"/>
            <w:rPr>
              <w:color w:val="auto"/>
              <w:sz w:val="28"/>
              <w:szCs w:val="28"/>
            </w:rPr>
          </w:pPr>
          <w:r>
            <w:rPr>
              <w:color w:val="auto"/>
            </w:rPr>
            <w:fldChar w:fldCharType="begin"/>
          </w:r>
          <w:r>
            <w:rPr>
              <w:color w:val="auto"/>
            </w:rPr>
            <w:instrText xml:space="preserve"> HYPERLINK \l "_Toc18132" </w:instrText>
          </w:r>
          <w:r>
            <w:rPr>
              <w:color w:val="auto"/>
            </w:rPr>
            <w:fldChar w:fldCharType="separate"/>
          </w:r>
          <w:r>
            <w:rPr>
              <w:rFonts w:hint="eastAsia" w:hAnsi="宋体" w:cs="宋体"/>
              <w:color w:val="auto"/>
              <w:sz w:val="28"/>
              <w:szCs w:val="28"/>
            </w:rPr>
            <w:t>第六章  比选办法</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color w:val="auto"/>
              <w:sz w:val="28"/>
              <w:szCs w:val="28"/>
            </w:rPr>
            <w:t>3</w:t>
          </w:r>
        </w:p>
        <w:p>
          <w:pPr>
            <w:pStyle w:val="83"/>
            <w:tabs>
              <w:tab w:val="right" w:leader="dot" w:pos="8840"/>
            </w:tabs>
            <w:spacing w:line="360" w:lineRule="auto"/>
            <w:rPr>
              <w:color w:val="auto"/>
              <w:sz w:val="28"/>
              <w:szCs w:val="28"/>
            </w:rPr>
          </w:pPr>
          <w:r>
            <w:rPr>
              <w:color w:val="auto"/>
            </w:rPr>
            <w:fldChar w:fldCharType="begin"/>
          </w:r>
          <w:r>
            <w:rPr>
              <w:color w:val="auto"/>
            </w:rPr>
            <w:instrText xml:space="preserve"> HYPERLINK \l "_Toc21218" </w:instrText>
          </w:r>
          <w:r>
            <w:rPr>
              <w:color w:val="auto"/>
            </w:rPr>
            <w:fldChar w:fldCharType="separate"/>
          </w:r>
          <w:r>
            <w:rPr>
              <w:rFonts w:hint="eastAsia" w:hAnsi="宋体" w:cs="宋体"/>
              <w:bCs/>
              <w:color w:val="auto"/>
              <w:sz w:val="28"/>
              <w:szCs w:val="28"/>
            </w:rPr>
            <w:t xml:space="preserve">第七章  </w:t>
          </w:r>
          <w:r>
            <w:rPr>
              <w:rFonts w:hint="eastAsia" w:hAnsi="宋体"/>
              <w:bCs/>
              <w:color w:val="auto"/>
              <w:sz w:val="28"/>
              <w:szCs w:val="28"/>
            </w:rPr>
            <w:t>采购合同</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color w:val="auto"/>
              <w:sz w:val="28"/>
              <w:szCs w:val="28"/>
            </w:rPr>
            <w:t>5</w:t>
          </w:r>
        </w:p>
        <w:p>
          <w:pPr>
            <w:pStyle w:val="17"/>
            <w:spacing w:line="360" w:lineRule="auto"/>
            <w:rPr>
              <w:color w:val="auto"/>
              <w:sz w:val="28"/>
              <w:szCs w:val="28"/>
            </w:rPr>
          </w:pPr>
          <w:r>
            <w:rPr>
              <w:rFonts w:hint="eastAsia"/>
              <w:color w:val="auto"/>
              <w:sz w:val="28"/>
              <w:szCs w:val="28"/>
            </w:rPr>
            <w:fldChar w:fldCharType="end"/>
          </w:r>
        </w:p>
      </w:sdtContent>
    </w:sdt>
    <w:p>
      <w:pPr>
        <w:rPr>
          <w:rFonts w:cs="宋体"/>
          <w:b/>
          <w:color w:val="auto"/>
          <w:kern w:val="2"/>
          <w:sz w:val="36"/>
          <w:szCs w:val="22"/>
        </w:rPr>
      </w:pPr>
      <w:bookmarkStart w:id="15" w:name="_Toc21110"/>
      <w:r>
        <w:rPr>
          <w:rFonts w:hint="eastAsia" w:cs="宋体"/>
          <w:b/>
          <w:color w:val="auto"/>
          <w:kern w:val="2"/>
          <w:sz w:val="36"/>
          <w:szCs w:val="22"/>
        </w:rPr>
        <w:br w:type="page"/>
      </w:r>
    </w:p>
    <w:p>
      <w:pPr>
        <w:pStyle w:val="29"/>
        <w:spacing w:line="360" w:lineRule="auto"/>
        <w:ind w:left="0" w:leftChars="0" w:firstLine="0" w:firstLineChars="0"/>
        <w:jc w:val="center"/>
        <w:outlineLvl w:val="0"/>
        <w:rPr>
          <w:rFonts w:ascii="宋体" w:eastAsia="宋体" w:cs="宋体"/>
          <w:b/>
          <w:color w:val="auto"/>
          <w:kern w:val="2"/>
          <w:sz w:val="36"/>
          <w:szCs w:val="22"/>
        </w:rPr>
      </w:pPr>
      <w:r>
        <w:rPr>
          <w:rFonts w:hint="eastAsia" w:ascii="宋体" w:eastAsia="宋体" w:cs="宋体"/>
          <w:b/>
          <w:color w:val="auto"/>
          <w:kern w:val="2"/>
          <w:sz w:val="36"/>
          <w:szCs w:val="22"/>
        </w:rPr>
        <w:t>第一章  参选邀请</w:t>
      </w:r>
      <w:bookmarkEnd w:id="4"/>
      <w:bookmarkEnd w:id="5"/>
      <w:bookmarkEnd w:id="15"/>
    </w:p>
    <w:p>
      <w:pPr>
        <w:ind w:firstLine="723" w:firstLineChars="300"/>
        <w:jc w:val="left"/>
        <w:rPr>
          <w:rFonts w:hAnsi="宋体"/>
          <w:b/>
          <w:bCs/>
          <w:color w:val="auto"/>
          <w:sz w:val="24"/>
        </w:rPr>
      </w:pPr>
      <w:r>
        <w:rPr>
          <w:rFonts w:hint="eastAsia" w:hAnsi="宋体" w:cs="宋体"/>
          <w:b/>
          <w:bCs/>
          <w:color w:val="auto"/>
          <w:sz w:val="24"/>
          <w:u w:val="single"/>
          <w:lang w:eastAsia="zh-CN"/>
        </w:rPr>
        <w:t>古蔺县中医医院</w:t>
      </w:r>
      <w:r>
        <w:rPr>
          <w:rFonts w:hint="eastAsia" w:hAnsi="宋体" w:cs="宋体"/>
          <w:color w:val="auto"/>
          <w:sz w:val="24"/>
        </w:rPr>
        <w:t>拟对</w:t>
      </w:r>
      <w:r>
        <w:rPr>
          <w:rFonts w:hint="default" w:hAnsi="宋体" w:cs="宋体"/>
          <w:b/>
          <w:bCs/>
          <w:color w:val="auto"/>
          <w:sz w:val="24"/>
          <w:u w:val="single"/>
          <w:lang w:val="en-US"/>
        </w:rPr>
        <w:t>古蔺县中医医院检验试剂配送服务比选采购项目</w:t>
      </w:r>
      <w:r>
        <w:rPr>
          <w:rFonts w:hint="eastAsia" w:hAnsi="宋体" w:cs="宋体"/>
          <w:color w:val="auto"/>
          <w:sz w:val="24"/>
        </w:rPr>
        <w:t>进行院内比选，兹邀请符合本次比选要求的供应商参加比选。</w:t>
      </w:r>
    </w:p>
    <w:p>
      <w:pPr>
        <w:ind w:right="51" w:rightChars="15"/>
        <w:jc w:val="left"/>
        <w:rPr>
          <w:rFonts w:hint="default" w:hAnsi="宋体"/>
          <w:b/>
          <w:color w:val="auto"/>
          <w:sz w:val="24"/>
          <w:lang w:val="en-US"/>
        </w:rPr>
      </w:pPr>
      <w:r>
        <w:rPr>
          <w:rFonts w:hint="eastAsia" w:hAnsi="宋体"/>
          <w:b/>
          <w:bCs/>
          <w:color w:val="auto"/>
          <w:sz w:val="24"/>
        </w:rPr>
        <w:t>一、</w:t>
      </w:r>
      <w:r>
        <w:rPr>
          <w:rFonts w:hint="eastAsia" w:hAnsi="宋体"/>
          <w:b/>
          <w:color w:val="auto"/>
          <w:sz w:val="24"/>
        </w:rPr>
        <w:t>项目名称：</w:t>
      </w:r>
      <w:r>
        <w:rPr>
          <w:rFonts w:hint="default" w:hAnsi="宋体"/>
          <w:b/>
          <w:color w:val="auto"/>
          <w:sz w:val="24"/>
          <w:lang w:val="en-US"/>
        </w:rPr>
        <w:t>古蔺县中医医院检验试剂配送服务比选采购项目</w:t>
      </w:r>
    </w:p>
    <w:p>
      <w:pPr>
        <w:ind w:right="51" w:rightChars="15"/>
        <w:jc w:val="left"/>
        <w:rPr>
          <w:rFonts w:hint="default" w:hAnsi="宋体" w:eastAsia="宋体"/>
          <w:b/>
          <w:color w:val="auto"/>
          <w:sz w:val="24"/>
          <w:lang w:val="en-US" w:eastAsia="zh-CN"/>
        </w:rPr>
      </w:pPr>
      <w:r>
        <w:rPr>
          <w:rFonts w:hint="eastAsia" w:hAnsi="宋体"/>
          <w:b/>
          <w:color w:val="auto"/>
          <w:sz w:val="24"/>
        </w:rPr>
        <w:t>二、项目编号：</w:t>
      </w:r>
      <w:r>
        <w:rPr>
          <w:rFonts w:hint="default" w:hAnsi="宋体"/>
          <w:b/>
          <w:color w:val="auto"/>
          <w:sz w:val="24"/>
          <w:lang w:val="en-US" w:eastAsia="zh-CN"/>
        </w:rPr>
        <w:t>GLXZYYY202407001</w:t>
      </w:r>
    </w:p>
    <w:p>
      <w:pPr>
        <w:ind w:right="51" w:rightChars="15"/>
        <w:jc w:val="left"/>
        <w:rPr>
          <w:rFonts w:hint="default" w:hAnsi="宋体" w:eastAsia="宋体"/>
          <w:b/>
          <w:color w:val="auto"/>
          <w:sz w:val="24"/>
          <w:lang w:val="en-US" w:eastAsia="zh-CN"/>
        </w:rPr>
      </w:pPr>
      <w:r>
        <w:rPr>
          <w:rFonts w:hint="eastAsia" w:hAnsi="宋体"/>
          <w:b/>
          <w:color w:val="auto"/>
          <w:sz w:val="24"/>
        </w:rPr>
        <w:t>三、资金预算：预算金额/最高限价：</w:t>
      </w:r>
      <w:r>
        <w:rPr>
          <w:rFonts w:hint="eastAsia" w:hAnsi="宋体"/>
          <w:b/>
          <w:color w:val="auto"/>
          <w:sz w:val="24"/>
          <w:lang w:val="en-US" w:eastAsia="zh-CN"/>
        </w:rPr>
        <w:t>单价招标，按实结算。</w:t>
      </w:r>
    </w:p>
    <w:p>
      <w:pPr>
        <w:jc w:val="left"/>
        <w:rPr>
          <w:rFonts w:hAnsi="宋体"/>
          <w:b/>
          <w:color w:val="auto"/>
          <w:sz w:val="24"/>
        </w:rPr>
      </w:pPr>
      <w:r>
        <w:rPr>
          <w:rFonts w:hint="eastAsia" w:hAnsi="宋体"/>
          <w:b/>
          <w:color w:val="auto"/>
          <w:sz w:val="24"/>
        </w:rPr>
        <w:t>四</w:t>
      </w:r>
      <w:r>
        <w:rPr>
          <w:rFonts w:hint="eastAsia" w:hAnsi="宋体"/>
          <w:b/>
          <w:bCs/>
          <w:color w:val="auto"/>
          <w:sz w:val="24"/>
        </w:rPr>
        <w:t>、</w:t>
      </w:r>
      <w:r>
        <w:rPr>
          <w:rFonts w:hint="eastAsia" w:hAnsi="宋体"/>
          <w:b/>
          <w:color w:val="auto"/>
          <w:sz w:val="24"/>
        </w:rPr>
        <w:t>项目简介：</w:t>
      </w:r>
    </w:p>
    <w:p>
      <w:pPr>
        <w:pStyle w:val="17"/>
        <w:ind w:firstLine="480" w:firstLineChars="200"/>
        <w:rPr>
          <w:color w:val="auto"/>
        </w:rPr>
      </w:pPr>
      <w:r>
        <w:rPr>
          <w:rFonts w:hint="eastAsia" w:hAnsi="宋体"/>
          <w:bCs/>
          <w:color w:val="auto"/>
          <w:sz w:val="24"/>
        </w:rPr>
        <w:t>1.本项目</w:t>
      </w:r>
      <w:r>
        <w:rPr>
          <w:rFonts w:hint="eastAsia" w:hAnsi="宋体"/>
          <w:bCs/>
          <w:color w:val="auto"/>
          <w:sz w:val="24"/>
          <w:lang w:val="en-US" w:eastAsia="zh-CN"/>
        </w:rPr>
        <w:t>2</w:t>
      </w:r>
      <w:r>
        <w:rPr>
          <w:rFonts w:hint="eastAsia" w:hAnsi="宋体"/>
          <w:bCs/>
          <w:color w:val="auto"/>
          <w:sz w:val="24"/>
        </w:rPr>
        <w:t>个包，拟采购</w:t>
      </w:r>
      <w:r>
        <w:rPr>
          <w:rFonts w:hint="eastAsia" w:hAnsi="宋体"/>
          <w:bCs/>
          <w:color w:val="auto"/>
          <w:sz w:val="24"/>
          <w:lang w:val="en-US"/>
        </w:rPr>
        <w:t>检验试剂</w:t>
      </w:r>
      <w:r>
        <w:rPr>
          <w:rFonts w:hint="eastAsia" w:hAnsi="宋体"/>
          <w:bCs/>
          <w:color w:val="auto"/>
          <w:sz w:val="24"/>
          <w:lang w:val="en-US" w:eastAsia="zh-CN"/>
        </w:rPr>
        <w:t>1批，分别采购供应商1名提供配送服务</w:t>
      </w:r>
      <w:r>
        <w:rPr>
          <w:rFonts w:hint="eastAsia" w:hAnsi="宋体"/>
          <w:bCs/>
          <w:color w:val="auto"/>
          <w:sz w:val="24"/>
        </w:rPr>
        <w:t>。（具体要求详见比选文件第五章)</w:t>
      </w:r>
    </w:p>
    <w:tbl>
      <w:tblPr>
        <w:tblStyle w:val="37"/>
        <w:tblW w:w="5395" w:type="pct"/>
        <w:tblInd w:w="-293"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700"/>
        <w:gridCol w:w="993"/>
        <w:gridCol w:w="1777"/>
        <w:gridCol w:w="2192"/>
        <w:gridCol w:w="3115"/>
        <w:gridCol w:w="994"/>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包号</w:t>
            </w:r>
          </w:p>
        </w:tc>
        <w:tc>
          <w:tcPr>
            <w:tcW w:w="50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909"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112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服务期限</w:t>
            </w:r>
          </w:p>
        </w:tc>
        <w:tc>
          <w:tcPr>
            <w:tcW w:w="1593"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检验试剂类别</w:t>
            </w:r>
          </w:p>
        </w:tc>
        <w:tc>
          <w:tcPr>
            <w:tcW w:w="50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01</w:t>
            </w:r>
          </w:p>
        </w:tc>
        <w:tc>
          <w:tcPr>
            <w:tcW w:w="508"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909"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检验试剂配送1</w:t>
            </w:r>
          </w:p>
        </w:tc>
        <w:tc>
          <w:tcPr>
            <w:tcW w:w="112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合同签订之日起3年</w:t>
            </w:r>
          </w:p>
        </w:tc>
        <w:tc>
          <w:tcPr>
            <w:tcW w:w="1593" w:type="pct"/>
            <w:tcBorders>
              <w:tl2br w:val="nil"/>
              <w:tr2bl w:val="nil"/>
            </w:tcBorders>
            <w:noWrap/>
            <w:vAlign w:val="center"/>
          </w:tcPr>
          <w:p>
            <w:pPr>
              <w:jc w:val="center"/>
              <w:rPr>
                <w:rFonts w:hint="default" w:ascii="宋体" w:hAnsi="宋体" w:eastAsia="宋体" w:cs="宋体"/>
                <w:b w:val="0"/>
                <w:bCs w:val="0"/>
                <w:i w:val="0"/>
                <w:iCs w:val="0"/>
                <w:color w:val="auto"/>
                <w:sz w:val="21"/>
                <w:szCs w:val="21"/>
                <w:u w:val="none"/>
                <w:lang w:val="en-US" w:eastAsia="zh-CN"/>
              </w:rPr>
            </w:pPr>
            <w:r>
              <w:rPr>
                <w:rFonts w:hint="default" w:ascii="宋体" w:hAnsi="宋体" w:eastAsia="宋体" w:cs="宋体"/>
                <w:b w:val="0"/>
                <w:bCs w:val="0"/>
                <w:i w:val="0"/>
                <w:iCs w:val="0"/>
                <w:color w:val="auto"/>
                <w:sz w:val="21"/>
                <w:szCs w:val="21"/>
                <w:u w:val="none"/>
                <w:lang w:val="en-US" w:eastAsia="zh-CN"/>
              </w:rPr>
              <w:t>微生物</w:t>
            </w:r>
            <w:r>
              <w:rPr>
                <w:rFonts w:hint="eastAsia" w:hAnsi="宋体" w:cs="宋体"/>
                <w:b w:val="0"/>
                <w:bCs w:val="0"/>
                <w:i w:val="0"/>
                <w:iCs w:val="0"/>
                <w:color w:val="auto"/>
                <w:sz w:val="21"/>
                <w:szCs w:val="21"/>
                <w:u w:val="none"/>
                <w:lang w:val="en-US" w:eastAsia="zh-CN"/>
              </w:rPr>
              <w:t>、输血、临检、分子</w:t>
            </w:r>
          </w:p>
        </w:tc>
        <w:tc>
          <w:tcPr>
            <w:tcW w:w="508"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02</w:t>
            </w:r>
          </w:p>
        </w:tc>
        <w:tc>
          <w:tcPr>
            <w:tcW w:w="50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02</w:t>
            </w:r>
            <w:r>
              <w:rPr>
                <w:rFonts w:hint="eastAsia" w:ascii="宋体" w:hAnsi="宋体" w:eastAsia="宋体" w:cs="宋体"/>
                <w:b w:val="0"/>
                <w:bCs w:val="0"/>
                <w:i w:val="0"/>
                <w:iCs w:val="0"/>
                <w:color w:val="auto"/>
                <w:kern w:val="0"/>
                <w:sz w:val="21"/>
                <w:szCs w:val="21"/>
                <w:u w:val="none"/>
                <w:lang w:val="en-US" w:eastAsia="zh-CN" w:bidi="ar"/>
              </w:rPr>
              <w:t>-</w:t>
            </w:r>
            <w:r>
              <w:rPr>
                <w:rFonts w:hint="eastAsia" w:hAnsi="宋体" w:cs="宋体"/>
                <w:b w:val="0"/>
                <w:bCs w:val="0"/>
                <w:i w:val="0"/>
                <w:iCs w:val="0"/>
                <w:color w:val="auto"/>
                <w:kern w:val="0"/>
                <w:sz w:val="21"/>
                <w:szCs w:val="21"/>
                <w:u w:val="none"/>
                <w:lang w:val="en-US" w:eastAsia="zh-CN" w:bidi="ar"/>
              </w:rPr>
              <w:t>01</w:t>
            </w:r>
          </w:p>
        </w:tc>
        <w:tc>
          <w:tcPr>
            <w:tcW w:w="909"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检验试剂配送2</w:t>
            </w:r>
          </w:p>
        </w:tc>
        <w:tc>
          <w:tcPr>
            <w:tcW w:w="11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合同签订之日起3年</w:t>
            </w:r>
          </w:p>
        </w:tc>
        <w:tc>
          <w:tcPr>
            <w:tcW w:w="1593"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rPr>
              <w:t>免疫</w:t>
            </w:r>
            <w:r>
              <w:rPr>
                <w:rFonts w:hint="eastAsia" w:hAnsi="宋体" w:cs="宋体"/>
                <w:b w:val="0"/>
                <w:bCs w:val="0"/>
                <w:i w:val="0"/>
                <w:iCs w:val="0"/>
                <w:color w:val="auto"/>
                <w:sz w:val="21"/>
                <w:szCs w:val="21"/>
                <w:u w:val="none"/>
                <w:lang w:eastAsia="zh-CN"/>
              </w:rPr>
              <w:t>、生化</w:t>
            </w:r>
          </w:p>
        </w:tc>
        <w:tc>
          <w:tcPr>
            <w:tcW w:w="508"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bl>
    <w:p>
      <w:pPr>
        <w:spacing w:after="120"/>
        <w:rPr>
          <w:rFonts w:hAnsi="宋体" w:cs="宋体"/>
          <w:b/>
          <w:bCs/>
          <w:color w:val="auto"/>
          <w:sz w:val="24"/>
        </w:rPr>
      </w:pPr>
      <w:r>
        <w:rPr>
          <w:rFonts w:hint="eastAsia" w:hAnsi="宋体" w:cs="宋体"/>
          <w:b/>
          <w:bCs/>
          <w:color w:val="auto"/>
          <w:sz w:val="24"/>
        </w:rPr>
        <w:t>五、供应商邀请方式</w:t>
      </w:r>
    </w:p>
    <w:p>
      <w:pPr>
        <w:spacing w:after="120"/>
        <w:ind w:firstLine="480" w:firstLineChars="200"/>
        <w:rPr>
          <w:color w:val="auto"/>
        </w:rPr>
      </w:pPr>
      <w:r>
        <w:rPr>
          <w:rFonts w:hint="eastAsia" w:hAnsi="宋体" w:cs="宋体"/>
          <w:bCs/>
          <w:color w:val="auto"/>
          <w:sz w:val="24"/>
        </w:rPr>
        <w:t>本次比选采用</w:t>
      </w:r>
      <w:r>
        <w:rPr>
          <w:rFonts w:hint="eastAsia" w:hAnsi="宋体" w:cs="宋体"/>
          <w:bCs/>
          <w:color w:val="auto"/>
          <w:sz w:val="24"/>
          <w:lang w:eastAsia="zh-CN"/>
        </w:rPr>
        <w:t>古蔺县中医医院</w:t>
      </w:r>
      <w:r>
        <w:rPr>
          <w:rFonts w:hint="eastAsia" w:hAnsi="宋体" w:cs="宋体"/>
          <w:bCs/>
          <w:color w:val="auto"/>
          <w:sz w:val="24"/>
        </w:rPr>
        <w:t>官网公示（http://www.glxzyyy.cn/）的方式邀请参加比选的供应商。</w:t>
      </w:r>
    </w:p>
    <w:p>
      <w:pPr>
        <w:jc w:val="left"/>
        <w:rPr>
          <w:rFonts w:hAnsi="宋体"/>
          <w:b/>
          <w:color w:val="auto"/>
          <w:sz w:val="24"/>
          <w:szCs w:val="22"/>
        </w:rPr>
      </w:pPr>
      <w:r>
        <w:rPr>
          <w:rFonts w:hint="eastAsia" w:hAnsi="宋体"/>
          <w:b/>
          <w:color w:val="auto"/>
          <w:sz w:val="24"/>
          <w:szCs w:val="22"/>
        </w:rPr>
        <w:t>六、供应商参加本次比选活动，应当在提交响应文件前具备下列条件：</w:t>
      </w:r>
    </w:p>
    <w:p>
      <w:pPr>
        <w:jc w:val="left"/>
        <w:rPr>
          <w:rFonts w:hAnsi="宋体"/>
          <w:bCs/>
          <w:color w:val="auto"/>
          <w:sz w:val="24"/>
          <w:szCs w:val="22"/>
        </w:rPr>
      </w:pPr>
      <w:r>
        <w:rPr>
          <w:rFonts w:hint="eastAsia" w:hAnsi="宋体"/>
          <w:bCs/>
          <w:color w:val="auto"/>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Ansi="宋体"/>
          <w:bCs/>
          <w:color w:val="auto"/>
          <w:sz w:val="24"/>
          <w:szCs w:val="22"/>
        </w:rPr>
      </w:pPr>
      <w:r>
        <w:rPr>
          <w:rFonts w:hint="eastAsia" w:hAnsi="宋体"/>
          <w:bCs/>
          <w:color w:val="auto"/>
          <w:sz w:val="24"/>
          <w:szCs w:val="22"/>
        </w:rPr>
        <w:t xml:space="preserve">2.具有良好的商业信誉和健全的财务会计制度【提供承诺函】； </w:t>
      </w:r>
    </w:p>
    <w:p>
      <w:pPr>
        <w:jc w:val="left"/>
        <w:rPr>
          <w:rFonts w:hAnsi="宋体"/>
          <w:bCs/>
          <w:color w:val="auto"/>
          <w:sz w:val="24"/>
          <w:szCs w:val="22"/>
        </w:rPr>
      </w:pPr>
      <w:r>
        <w:rPr>
          <w:rFonts w:hint="eastAsia" w:hAnsi="宋体"/>
          <w:bCs/>
          <w:color w:val="auto"/>
          <w:sz w:val="24"/>
          <w:szCs w:val="22"/>
        </w:rPr>
        <w:t>3.具有依法缴纳税收和社会保障资金的良好记录【提供承诺函】；</w:t>
      </w:r>
    </w:p>
    <w:p>
      <w:pPr>
        <w:jc w:val="left"/>
        <w:rPr>
          <w:rFonts w:hAnsi="宋体"/>
          <w:bCs/>
          <w:color w:val="auto"/>
          <w:sz w:val="24"/>
          <w:szCs w:val="22"/>
        </w:rPr>
      </w:pPr>
      <w:r>
        <w:rPr>
          <w:rFonts w:hint="eastAsia" w:hAnsi="宋体"/>
          <w:bCs/>
          <w:color w:val="auto"/>
          <w:sz w:val="24"/>
          <w:szCs w:val="22"/>
        </w:rPr>
        <w:t>4.具有履行合同所必须的设备和专业技术能力【提供承诺函】；</w:t>
      </w:r>
    </w:p>
    <w:p>
      <w:pPr>
        <w:jc w:val="left"/>
        <w:rPr>
          <w:rFonts w:hAnsi="宋体"/>
          <w:bCs/>
          <w:color w:val="auto"/>
          <w:sz w:val="24"/>
          <w:szCs w:val="22"/>
        </w:rPr>
      </w:pPr>
      <w:r>
        <w:rPr>
          <w:rFonts w:hint="eastAsia" w:hAnsi="宋体"/>
          <w:bCs/>
          <w:color w:val="auto"/>
          <w:sz w:val="24"/>
          <w:szCs w:val="22"/>
        </w:rPr>
        <w:t xml:space="preserve">5.参加本次采购活动前三年内，在经营活动中没有重大违法记录； </w:t>
      </w:r>
    </w:p>
    <w:p>
      <w:pPr>
        <w:jc w:val="left"/>
        <w:rPr>
          <w:rFonts w:hAnsi="宋体"/>
          <w:bCs/>
          <w:color w:val="auto"/>
          <w:sz w:val="24"/>
          <w:szCs w:val="22"/>
        </w:rPr>
      </w:pPr>
      <w:r>
        <w:rPr>
          <w:rFonts w:hint="eastAsia" w:hAnsi="宋体"/>
          <w:bCs/>
          <w:color w:val="auto"/>
          <w:sz w:val="24"/>
          <w:szCs w:val="22"/>
        </w:rPr>
        <w:t>6.符合法律、</w:t>
      </w:r>
      <w:r>
        <w:rPr>
          <w:color w:val="auto"/>
        </w:rPr>
        <w:fldChar w:fldCharType="begin"/>
      </w:r>
      <w:r>
        <w:rPr>
          <w:color w:val="auto"/>
        </w:rPr>
        <w:instrText xml:space="preserve"> HYPERLINK "http://www.lawtime.cn/info/sifakaoshi/xingzhengfa/" \t "_blank" </w:instrText>
      </w:r>
      <w:r>
        <w:rPr>
          <w:color w:val="auto"/>
        </w:rPr>
        <w:fldChar w:fldCharType="separate"/>
      </w:r>
      <w:r>
        <w:rPr>
          <w:rFonts w:hint="eastAsia" w:hAnsi="宋体"/>
          <w:bCs/>
          <w:color w:val="auto"/>
          <w:sz w:val="24"/>
          <w:szCs w:val="22"/>
        </w:rPr>
        <w:t>行政法</w:t>
      </w:r>
      <w:r>
        <w:rPr>
          <w:rFonts w:hint="eastAsia" w:hAnsi="宋体"/>
          <w:bCs/>
          <w:color w:val="auto"/>
          <w:sz w:val="24"/>
          <w:szCs w:val="22"/>
        </w:rPr>
        <w:fldChar w:fldCharType="end"/>
      </w:r>
      <w:r>
        <w:rPr>
          <w:rFonts w:hint="eastAsia" w:hAnsi="宋体"/>
          <w:bCs/>
          <w:color w:val="auto"/>
          <w:sz w:val="24"/>
          <w:szCs w:val="22"/>
        </w:rPr>
        <w:t>规规定的其他条件【提供承诺函】；</w:t>
      </w:r>
    </w:p>
    <w:p>
      <w:pPr>
        <w:jc w:val="left"/>
        <w:rPr>
          <w:rFonts w:hint="eastAsia" w:ascii="宋体" w:hAnsi="宋体" w:eastAsia="宋体" w:cs="Times New Roman"/>
          <w:bCs/>
          <w:color w:val="auto"/>
          <w:sz w:val="24"/>
          <w:szCs w:val="22"/>
          <w:lang w:val="en-US" w:eastAsia="zh-CN"/>
        </w:rPr>
      </w:pPr>
      <w:r>
        <w:rPr>
          <w:rFonts w:hint="eastAsia" w:ascii="宋体" w:hAnsi="宋体" w:eastAsia="宋体" w:cs="Times New Roman"/>
          <w:bCs/>
          <w:color w:val="auto"/>
          <w:sz w:val="24"/>
          <w:szCs w:val="22"/>
          <w:lang w:val="en-US" w:eastAsia="zh-CN"/>
        </w:rPr>
        <w:t>7.供应商须符合《医疗器械监督管理条例》要求并提供供应商经营该产品的经营许可/经营备案证明材料。【1.提供证书复印件，如：“多证合一”查看营业执照复印件】；</w:t>
      </w:r>
    </w:p>
    <w:p>
      <w:pPr>
        <w:jc w:val="left"/>
        <w:rPr>
          <w:rFonts w:hint="eastAsia" w:ascii="宋体" w:hAnsi="宋体" w:eastAsia="宋体" w:cs="Times New Roman"/>
          <w:bCs/>
          <w:color w:val="auto"/>
          <w:sz w:val="24"/>
          <w:szCs w:val="22"/>
          <w:lang w:val="en-US" w:eastAsia="zh-CN"/>
        </w:rPr>
      </w:pPr>
      <w:r>
        <w:rPr>
          <w:rFonts w:hint="eastAsia" w:ascii="宋体" w:hAnsi="宋体" w:eastAsia="宋体" w:cs="Times New Roman"/>
          <w:bCs/>
          <w:color w:val="auto"/>
          <w:sz w:val="24"/>
          <w:szCs w:val="22"/>
          <w:lang w:val="en-US" w:eastAsia="zh-CN"/>
        </w:rPr>
        <w:t>8.供应商须承诺：所投产品符合国家和行业标准，所投产品如为医疗器械的须符合《医疗器械注册管理办法》要求并具有产品的注册/备案证明材料，承诺在每个产品第一次供货时向采购方提供产品相关证书并加盖供应商和制造厂家公章。【提供承诺函】</w:t>
      </w:r>
    </w:p>
    <w:p>
      <w:pPr>
        <w:jc w:val="left"/>
        <w:rPr>
          <w:rFonts w:hint="default" w:ascii="宋体" w:hAnsi="宋体" w:eastAsia="宋体" w:cs="Times New Roman"/>
          <w:bCs/>
          <w:color w:val="auto"/>
          <w:sz w:val="24"/>
          <w:szCs w:val="22"/>
          <w:lang w:val="en-US" w:eastAsia="zh-CN"/>
        </w:rPr>
      </w:pPr>
      <w:r>
        <w:rPr>
          <w:rFonts w:hint="eastAsia" w:ascii="宋体" w:hAnsi="宋体" w:eastAsia="宋体" w:cs="Times New Roman"/>
          <w:bCs/>
          <w:color w:val="auto"/>
          <w:sz w:val="24"/>
          <w:szCs w:val="22"/>
          <w:lang w:val="en-US" w:eastAsia="zh-CN"/>
        </w:rPr>
        <w:t>9.如所投产品在“四川省医疗保障信息大数据一体化平台药品和医用耗材招采管理子系统”进行备案的，在签订合同前向采购人提供截图。【提供承诺函】</w:t>
      </w:r>
    </w:p>
    <w:p>
      <w:pPr>
        <w:spacing w:after="50"/>
        <w:ind w:right="537" w:rightChars="158"/>
        <w:jc w:val="left"/>
        <w:rPr>
          <w:rFonts w:hint="eastAsia" w:hAnsi="宋体" w:cs="宋体"/>
          <w:b/>
          <w:color w:val="auto"/>
          <w:sz w:val="24"/>
        </w:rPr>
      </w:pPr>
    </w:p>
    <w:p>
      <w:pPr>
        <w:spacing w:after="50"/>
        <w:ind w:right="537" w:rightChars="158"/>
        <w:jc w:val="left"/>
        <w:rPr>
          <w:rFonts w:hAnsi="宋体" w:cs="宋体"/>
          <w:b/>
          <w:color w:val="auto"/>
          <w:sz w:val="24"/>
        </w:rPr>
      </w:pPr>
      <w:r>
        <w:rPr>
          <w:rFonts w:hint="eastAsia" w:hAnsi="宋体" w:cs="宋体"/>
          <w:b/>
          <w:color w:val="auto"/>
          <w:sz w:val="24"/>
        </w:rPr>
        <w:t>七、比选文件领取时间、地点：</w:t>
      </w:r>
    </w:p>
    <w:p>
      <w:pPr>
        <w:ind w:firstLine="482" w:firstLineChars="200"/>
        <w:jc w:val="left"/>
        <w:rPr>
          <w:rFonts w:hint="eastAsia" w:hAnsi="宋体"/>
          <w:bCs/>
          <w:color w:val="auto"/>
          <w:sz w:val="24"/>
          <w:szCs w:val="22"/>
          <w:lang w:val="en-US" w:eastAsia="zh-CN"/>
        </w:rPr>
      </w:pPr>
      <w:r>
        <w:rPr>
          <w:rFonts w:hint="eastAsia" w:hAnsi="宋体"/>
          <w:b/>
          <w:bCs w:val="0"/>
          <w:color w:val="auto"/>
          <w:sz w:val="24"/>
          <w:szCs w:val="22"/>
          <w:lang w:val="en-US" w:eastAsia="zh-CN"/>
        </w:rPr>
        <w:t>1.比选文件自2024年07月11日至2024年07月15日09时00分—17时00分</w:t>
      </w:r>
      <w:r>
        <w:rPr>
          <w:rFonts w:hint="eastAsia" w:hAnsi="宋体"/>
          <w:bCs/>
          <w:color w:val="auto"/>
          <w:sz w:val="24"/>
          <w:szCs w:val="22"/>
          <w:lang w:val="en-US" w:eastAsia="zh-CN"/>
        </w:rPr>
        <w:t>（节假日除外)在四川国际招标有限责任公司泸州办事处（泸州市佳乐世纪城金融中心7号楼904室）获取比选文件。本项目报名方式为现场报名或网上报名。</w:t>
      </w:r>
    </w:p>
    <w:p>
      <w:pPr>
        <w:ind w:firstLine="482" w:firstLineChars="200"/>
        <w:jc w:val="left"/>
        <w:rPr>
          <w:rFonts w:hint="eastAsia" w:hAnsi="宋体"/>
          <w:b/>
          <w:bCs w:val="0"/>
          <w:color w:val="auto"/>
          <w:sz w:val="24"/>
          <w:szCs w:val="22"/>
          <w:lang w:val="en-US" w:eastAsia="zh-CN"/>
        </w:rPr>
      </w:pPr>
      <w:r>
        <w:rPr>
          <w:rFonts w:hint="eastAsia" w:hAnsi="宋体"/>
          <w:b/>
          <w:bCs w:val="0"/>
          <w:color w:val="auto"/>
          <w:sz w:val="24"/>
          <w:szCs w:val="22"/>
          <w:lang w:val="en-US" w:eastAsia="zh-CN"/>
        </w:rPr>
        <w:t>2.供应商现场报名方式及资料提供</w:t>
      </w:r>
    </w:p>
    <w:p>
      <w:pPr>
        <w:ind w:firstLine="480" w:firstLineChars="200"/>
        <w:jc w:val="left"/>
        <w:rPr>
          <w:rFonts w:hint="eastAsia" w:hAnsi="宋体"/>
          <w:bCs/>
          <w:color w:val="auto"/>
          <w:sz w:val="24"/>
          <w:szCs w:val="22"/>
          <w:lang w:val="en-US" w:eastAsia="zh-CN"/>
        </w:rPr>
      </w:pPr>
      <w:r>
        <w:rPr>
          <w:rFonts w:hint="eastAsia" w:hAnsi="宋体"/>
          <w:bCs/>
          <w:color w:val="auto"/>
          <w:sz w:val="24"/>
          <w:szCs w:val="22"/>
          <w:lang w:val="en-US" w:eastAsia="zh-CN"/>
        </w:rPr>
        <w:t>2.1现场报名：报名时间以现场接收报名材料时间为准，逾期不再接受报名。</w:t>
      </w:r>
    </w:p>
    <w:p>
      <w:pPr>
        <w:ind w:firstLine="480" w:firstLineChars="200"/>
        <w:jc w:val="left"/>
        <w:rPr>
          <w:rFonts w:hint="eastAsia" w:hAnsi="宋体"/>
          <w:bCs/>
          <w:color w:val="auto"/>
          <w:sz w:val="24"/>
          <w:szCs w:val="22"/>
          <w:lang w:val="en-US" w:eastAsia="zh-CN"/>
        </w:rPr>
      </w:pPr>
      <w:r>
        <w:rPr>
          <w:rFonts w:hint="eastAsia" w:hAnsi="宋体"/>
          <w:bCs/>
          <w:color w:val="auto"/>
          <w:sz w:val="24"/>
          <w:szCs w:val="22"/>
          <w:lang w:val="en-US" w:eastAsia="zh-CN"/>
        </w:rPr>
        <w:t>2.2法定代表人授权委托书原件或公司介绍信原件【1.法定代表人和授权代表签字；2.加盖公章；3.明确授权代表联系方式（以便开标前告知是否到达开标条件）；4.附带法定代表人及授权代表的身份证复印件加盖公章】。</w:t>
      </w:r>
    </w:p>
    <w:p>
      <w:pPr>
        <w:ind w:firstLine="482" w:firstLineChars="200"/>
        <w:jc w:val="left"/>
        <w:rPr>
          <w:rFonts w:hint="eastAsia" w:hAnsi="宋体"/>
          <w:b/>
          <w:bCs w:val="0"/>
          <w:color w:val="auto"/>
          <w:sz w:val="24"/>
          <w:szCs w:val="22"/>
          <w:lang w:val="en-US" w:eastAsia="zh-CN"/>
        </w:rPr>
      </w:pPr>
      <w:r>
        <w:rPr>
          <w:rFonts w:hint="eastAsia" w:hAnsi="宋体"/>
          <w:b/>
          <w:bCs w:val="0"/>
          <w:color w:val="auto"/>
          <w:sz w:val="24"/>
          <w:szCs w:val="22"/>
          <w:lang w:val="en-US" w:eastAsia="zh-CN"/>
        </w:rPr>
        <w:t>3.供应商网上报名方式及资料提供</w:t>
      </w:r>
    </w:p>
    <w:p>
      <w:pPr>
        <w:ind w:firstLine="480" w:firstLineChars="200"/>
        <w:jc w:val="left"/>
        <w:rPr>
          <w:rFonts w:hint="eastAsia" w:hAnsi="宋体"/>
          <w:bCs/>
          <w:color w:val="auto"/>
          <w:sz w:val="24"/>
          <w:szCs w:val="22"/>
          <w:lang w:val="en-US" w:eastAsia="zh-CN"/>
        </w:rPr>
      </w:pPr>
      <w:r>
        <w:rPr>
          <w:rFonts w:hint="eastAsia" w:hAnsi="宋体"/>
          <w:bCs/>
          <w:color w:val="auto"/>
          <w:sz w:val="24"/>
          <w:szCs w:val="22"/>
          <w:lang w:val="en-US" w:eastAsia="zh-CN"/>
        </w:rPr>
        <w:t>3.1法定代表人授权委托书或公司介绍信【1.法定代表人和授权代表签字；2.加盖公章；3.明确授权代表联系方式（以便开标前告知是否到达开标条件）；4.附带法定代表人及授权代表的身份证复印件加盖公章】</w:t>
      </w:r>
    </w:p>
    <w:p>
      <w:pPr>
        <w:ind w:firstLine="480" w:firstLineChars="200"/>
        <w:jc w:val="left"/>
        <w:rPr>
          <w:rFonts w:hint="eastAsia" w:hAnsi="宋体" w:cs="宋体"/>
          <w:b/>
          <w:color w:val="auto"/>
          <w:sz w:val="24"/>
          <w:szCs w:val="28"/>
        </w:rPr>
      </w:pPr>
      <w:r>
        <w:rPr>
          <w:rFonts w:hint="eastAsia" w:hAnsi="宋体"/>
          <w:bCs/>
          <w:color w:val="auto"/>
          <w:sz w:val="24"/>
          <w:szCs w:val="22"/>
          <w:lang w:val="en-US" w:eastAsia="zh-CN"/>
        </w:rPr>
        <w:fldChar w:fldCharType="begin"/>
      </w:r>
      <w:r>
        <w:rPr>
          <w:rFonts w:hint="eastAsia" w:hAnsi="宋体"/>
          <w:bCs/>
          <w:color w:val="auto"/>
          <w:sz w:val="24"/>
          <w:szCs w:val="22"/>
          <w:lang w:val="en-US" w:eastAsia="zh-CN"/>
        </w:rPr>
        <w:instrText xml:space="preserve"> HYPERLINK "mailto:3.2报名时以上资料加盖公章，在报名截止时间前以电子邮件方式传至代理机构指定邮箱3563998415@qq.com后获取" </w:instrText>
      </w:r>
      <w:r>
        <w:rPr>
          <w:rFonts w:hint="eastAsia" w:hAnsi="宋体"/>
          <w:bCs/>
          <w:color w:val="auto"/>
          <w:sz w:val="24"/>
          <w:szCs w:val="22"/>
          <w:lang w:val="en-US" w:eastAsia="zh-CN"/>
        </w:rPr>
        <w:fldChar w:fldCharType="separate"/>
      </w:r>
      <w:r>
        <w:rPr>
          <w:rFonts w:hint="eastAsia" w:hAnsi="宋体"/>
          <w:bCs/>
          <w:color w:val="auto"/>
          <w:sz w:val="24"/>
          <w:szCs w:val="22"/>
          <w:lang w:val="en-US" w:eastAsia="zh-CN"/>
        </w:rPr>
        <w:t>3.2报名时以上资料加盖公章，在报名截止时间前以电子邮件方式传至代理机构指定邮箱3563998415@qq.com后获取</w:t>
      </w:r>
      <w:r>
        <w:rPr>
          <w:rFonts w:hint="eastAsia" w:hAnsi="宋体"/>
          <w:bCs/>
          <w:color w:val="auto"/>
          <w:sz w:val="24"/>
          <w:szCs w:val="22"/>
          <w:lang w:val="en-US" w:eastAsia="zh-CN"/>
        </w:rPr>
        <w:fldChar w:fldCharType="end"/>
      </w:r>
      <w:r>
        <w:rPr>
          <w:rFonts w:hint="eastAsia" w:hAnsi="宋体"/>
          <w:bCs/>
          <w:color w:val="auto"/>
          <w:sz w:val="24"/>
          <w:szCs w:val="22"/>
          <w:lang w:val="en-US" w:eastAsia="zh-CN"/>
        </w:rPr>
        <w:t>《依法获取采购文件及项目报名登记表》，填写《依法获取采购文件及项目报名登记表》后盖章将《依法获取采购文件及项目报名登记表》回传至指定邮箱，获得代理机构回执方视为报名成功（本表中的投标单位全称必须与公章名称保持一致，否则视为无效报名），报名截止时间以后收到的报名信息为无效报名信息；注：请及时联系代理机构确认报名是否成功。</w:t>
      </w:r>
    </w:p>
    <w:p>
      <w:pPr>
        <w:spacing w:after="231" w:afterLines="50" w:line="420" w:lineRule="exact"/>
        <w:rPr>
          <w:rFonts w:hint="eastAsia" w:hAnsi="宋体" w:cs="宋体"/>
          <w:b/>
          <w:color w:val="auto"/>
          <w:sz w:val="24"/>
          <w:szCs w:val="28"/>
        </w:rPr>
      </w:pPr>
    </w:p>
    <w:p>
      <w:pPr>
        <w:spacing w:after="231" w:afterLines="50" w:line="420" w:lineRule="exact"/>
        <w:rPr>
          <w:rFonts w:hAnsi="宋体" w:cs="宋体"/>
          <w:color w:val="auto"/>
          <w:sz w:val="24"/>
          <w:szCs w:val="24"/>
        </w:rPr>
      </w:pPr>
      <w:r>
        <w:rPr>
          <w:rFonts w:hint="eastAsia" w:hAnsi="宋体" w:cs="宋体"/>
          <w:b/>
          <w:color w:val="auto"/>
          <w:sz w:val="24"/>
          <w:szCs w:val="28"/>
        </w:rPr>
        <w:t>八、递交响应文件</w:t>
      </w:r>
      <w:r>
        <w:rPr>
          <w:rFonts w:hint="eastAsia" w:hAnsi="宋体" w:cs="宋体"/>
          <w:b/>
          <w:color w:val="auto"/>
          <w:sz w:val="24"/>
        </w:rPr>
        <w:t>截止时间：</w:t>
      </w:r>
      <w:r>
        <w:rPr>
          <w:rFonts w:hint="eastAsia" w:hAnsi="宋体" w:cs="宋体"/>
          <w:b/>
          <w:bCs/>
          <w:color w:val="auto"/>
          <w:sz w:val="24"/>
          <w:szCs w:val="24"/>
        </w:rPr>
        <w:t>20</w:t>
      </w:r>
      <w:r>
        <w:rPr>
          <w:rFonts w:hint="eastAsia" w:hAnsi="宋体" w:cs="宋体"/>
          <w:b/>
          <w:bCs/>
          <w:color w:val="auto"/>
          <w:sz w:val="24"/>
          <w:szCs w:val="24"/>
          <w:lang w:val="en-US" w:eastAsia="zh-CN"/>
        </w:rPr>
        <w:t>24</w:t>
      </w:r>
      <w:r>
        <w:rPr>
          <w:rFonts w:hint="eastAsia" w:hAnsi="宋体" w:cs="宋体"/>
          <w:b/>
          <w:bCs/>
          <w:color w:val="auto"/>
          <w:sz w:val="24"/>
          <w:szCs w:val="24"/>
        </w:rPr>
        <w:t>年</w:t>
      </w:r>
      <w:r>
        <w:rPr>
          <w:rFonts w:hint="eastAsia" w:hAnsi="宋体" w:cs="宋体"/>
          <w:b/>
          <w:bCs/>
          <w:color w:val="auto"/>
          <w:sz w:val="24"/>
          <w:szCs w:val="24"/>
          <w:lang w:val="en-US" w:eastAsia="zh-CN"/>
        </w:rPr>
        <w:t>07</w:t>
      </w:r>
      <w:r>
        <w:rPr>
          <w:rFonts w:hint="eastAsia" w:hAnsi="宋体" w:cs="宋体"/>
          <w:b/>
          <w:bCs/>
          <w:color w:val="auto"/>
          <w:sz w:val="24"/>
          <w:szCs w:val="24"/>
        </w:rPr>
        <w:t>月</w:t>
      </w:r>
      <w:r>
        <w:rPr>
          <w:rFonts w:hint="eastAsia" w:hAnsi="宋体" w:cs="宋体"/>
          <w:b/>
          <w:bCs/>
          <w:color w:val="auto"/>
          <w:sz w:val="24"/>
          <w:szCs w:val="24"/>
          <w:lang w:val="en-US" w:eastAsia="zh-CN"/>
        </w:rPr>
        <w:t>18</w:t>
      </w:r>
      <w:r>
        <w:rPr>
          <w:rFonts w:hint="eastAsia" w:hAnsi="宋体" w:cs="宋体"/>
          <w:b/>
          <w:bCs/>
          <w:color w:val="auto"/>
          <w:sz w:val="24"/>
          <w:szCs w:val="24"/>
        </w:rPr>
        <w:t>日</w:t>
      </w:r>
      <w:r>
        <w:rPr>
          <w:rFonts w:hint="eastAsia" w:hAnsi="宋体" w:cs="宋体"/>
          <w:b/>
          <w:bCs/>
          <w:color w:val="auto"/>
          <w:sz w:val="24"/>
          <w:szCs w:val="24"/>
          <w:lang w:val="en-US" w:eastAsia="zh-CN"/>
        </w:rPr>
        <w:t>上</w:t>
      </w:r>
      <w:r>
        <w:rPr>
          <w:rFonts w:hint="eastAsia" w:hAnsi="宋体" w:cs="宋体"/>
          <w:b/>
          <w:bCs/>
          <w:color w:val="auto"/>
          <w:sz w:val="24"/>
          <w:szCs w:val="24"/>
        </w:rPr>
        <w:t>午</w:t>
      </w:r>
      <w:r>
        <w:rPr>
          <w:rFonts w:hint="eastAsia" w:hAnsi="宋体" w:cs="宋体"/>
          <w:b/>
          <w:bCs/>
          <w:color w:val="auto"/>
          <w:sz w:val="24"/>
          <w:szCs w:val="24"/>
          <w:u w:val="single"/>
          <w:lang w:val="en-US" w:eastAsia="zh-CN"/>
        </w:rPr>
        <w:t>9</w:t>
      </w:r>
      <w:r>
        <w:rPr>
          <w:rFonts w:hint="eastAsia" w:hAnsi="宋体" w:cs="宋体"/>
          <w:b/>
          <w:bCs/>
          <w:color w:val="auto"/>
          <w:sz w:val="24"/>
          <w:szCs w:val="24"/>
          <w:u w:val="single"/>
        </w:rPr>
        <w:t>：</w:t>
      </w:r>
      <w:r>
        <w:rPr>
          <w:rFonts w:hint="eastAsia" w:hAnsi="宋体" w:cs="宋体"/>
          <w:b/>
          <w:bCs/>
          <w:color w:val="auto"/>
          <w:sz w:val="24"/>
          <w:szCs w:val="24"/>
          <w:u w:val="single"/>
          <w:lang w:val="en-US" w:eastAsia="zh-CN"/>
        </w:rPr>
        <w:t>3</w:t>
      </w:r>
      <w:r>
        <w:rPr>
          <w:rFonts w:hint="eastAsia" w:hAnsi="宋体" w:cs="宋体"/>
          <w:b/>
          <w:bCs/>
          <w:color w:val="auto"/>
          <w:sz w:val="24"/>
          <w:szCs w:val="24"/>
          <w:u w:val="single"/>
        </w:rPr>
        <w:t>0</w:t>
      </w:r>
      <w:r>
        <w:rPr>
          <w:rFonts w:hint="eastAsia" w:hAnsi="宋体" w:cs="宋体"/>
          <w:b/>
          <w:bCs/>
          <w:color w:val="auto"/>
          <w:sz w:val="24"/>
          <w:szCs w:val="24"/>
        </w:rPr>
        <w:t>时止</w:t>
      </w:r>
      <w:r>
        <w:rPr>
          <w:rFonts w:hint="eastAsia" w:hAnsi="宋体" w:cs="宋体"/>
          <w:color w:val="auto"/>
          <w:sz w:val="24"/>
          <w:szCs w:val="24"/>
        </w:rPr>
        <w:t>（北京时间）。</w:t>
      </w:r>
    </w:p>
    <w:p>
      <w:pPr>
        <w:pStyle w:val="17"/>
        <w:spacing w:line="400" w:lineRule="exact"/>
        <w:rPr>
          <w:rFonts w:hAnsi="宋体" w:cs="宋体"/>
          <w:b/>
          <w:color w:val="auto"/>
          <w:sz w:val="24"/>
          <w:szCs w:val="28"/>
        </w:rPr>
      </w:pPr>
      <w:r>
        <w:rPr>
          <w:rFonts w:hint="eastAsia" w:hAnsi="宋体" w:cs="宋体"/>
          <w:b/>
          <w:color w:val="auto"/>
          <w:sz w:val="24"/>
          <w:szCs w:val="28"/>
        </w:rPr>
        <w:t>文件接收时间：</w:t>
      </w:r>
      <w:r>
        <w:rPr>
          <w:rFonts w:hint="eastAsia" w:hAnsi="宋体" w:cs="宋体"/>
          <w:b/>
          <w:bCs/>
          <w:color w:val="auto"/>
          <w:sz w:val="24"/>
          <w:szCs w:val="24"/>
        </w:rPr>
        <w:t>20</w:t>
      </w:r>
      <w:r>
        <w:rPr>
          <w:rFonts w:hint="eastAsia" w:hAnsi="宋体" w:cs="宋体"/>
          <w:b/>
          <w:bCs/>
          <w:color w:val="auto"/>
          <w:sz w:val="24"/>
          <w:szCs w:val="24"/>
          <w:lang w:val="en-US" w:eastAsia="zh-CN"/>
        </w:rPr>
        <w:t>24</w:t>
      </w:r>
      <w:r>
        <w:rPr>
          <w:rFonts w:hint="eastAsia" w:hAnsi="宋体" w:cs="宋体"/>
          <w:b/>
          <w:bCs/>
          <w:color w:val="auto"/>
          <w:sz w:val="24"/>
          <w:szCs w:val="24"/>
        </w:rPr>
        <w:t>年</w:t>
      </w:r>
      <w:r>
        <w:rPr>
          <w:rFonts w:hint="eastAsia" w:hAnsi="宋体" w:cs="宋体"/>
          <w:b/>
          <w:bCs/>
          <w:color w:val="auto"/>
          <w:sz w:val="24"/>
          <w:szCs w:val="24"/>
          <w:lang w:val="en-US" w:eastAsia="zh-CN"/>
        </w:rPr>
        <w:t>07</w:t>
      </w:r>
      <w:r>
        <w:rPr>
          <w:rFonts w:hint="eastAsia" w:hAnsi="宋体" w:cs="宋体"/>
          <w:b/>
          <w:bCs/>
          <w:color w:val="auto"/>
          <w:sz w:val="24"/>
          <w:szCs w:val="24"/>
        </w:rPr>
        <w:t>月</w:t>
      </w:r>
      <w:r>
        <w:rPr>
          <w:rFonts w:hint="eastAsia" w:hAnsi="宋体" w:cs="宋体"/>
          <w:b/>
          <w:bCs/>
          <w:color w:val="auto"/>
          <w:sz w:val="24"/>
          <w:szCs w:val="24"/>
          <w:lang w:val="en-US" w:eastAsia="zh-CN"/>
        </w:rPr>
        <w:t>18</w:t>
      </w:r>
      <w:r>
        <w:rPr>
          <w:rFonts w:hint="eastAsia" w:hAnsi="宋体" w:cs="宋体"/>
          <w:b/>
          <w:bCs/>
          <w:color w:val="auto"/>
          <w:sz w:val="24"/>
          <w:szCs w:val="24"/>
        </w:rPr>
        <w:t>日</w:t>
      </w:r>
      <w:r>
        <w:rPr>
          <w:rFonts w:hint="eastAsia" w:hAnsi="宋体" w:cs="宋体"/>
          <w:b/>
          <w:bCs/>
          <w:color w:val="auto"/>
          <w:sz w:val="24"/>
          <w:szCs w:val="24"/>
          <w:lang w:val="en-US" w:eastAsia="zh-CN"/>
        </w:rPr>
        <w:t>上</w:t>
      </w:r>
      <w:r>
        <w:rPr>
          <w:rFonts w:hint="eastAsia" w:hAnsi="宋体" w:cs="宋体"/>
          <w:b/>
          <w:bCs/>
          <w:color w:val="auto"/>
          <w:sz w:val="24"/>
          <w:szCs w:val="24"/>
        </w:rPr>
        <w:t>午</w:t>
      </w:r>
      <w:r>
        <w:rPr>
          <w:rFonts w:hint="eastAsia" w:hAnsi="宋体" w:cs="宋体"/>
          <w:b/>
          <w:color w:val="auto"/>
          <w:sz w:val="24"/>
          <w:szCs w:val="28"/>
          <w:lang w:val="en-US" w:eastAsia="zh-CN"/>
        </w:rPr>
        <w:t>9</w:t>
      </w:r>
      <w:r>
        <w:rPr>
          <w:rFonts w:hint="eastAsia" w:hAnsi="宋体" w:cs="宋体"/>
          <w:b/>
          <w:color w:val="auto"/>
          <w:sz w:val="24"/>
          <w:szCs w:val="28"/>
        </w:rPr>
        <w:t>:</w:t>
      </w:r>
      <w:r>
        <w:rPr>
          <w:rFonts w:hint="eastAsia" w:hAnsi="宋体" w:cs="宋体"/>
          <w:b/>
          <w:color w:val="auto"/>
          <w:sz w:val="24"/>
          <w:szCs w:val="28"/>
          <w:lang w:val="en-US" w:eastAsia="zh-CN"/>
        </w:rPr>
        <w:t>0</w:t>
      </w:r>
      <w:r>
        <w:rPr>
          <w:rFonts w:hint="eastAsia" w:hAnsi="宋体" w:cs="宋体"/>
          <w:b/>
          <w:color w:val="auto"/>
          <w:sz w:val="24"/>
          <w:szCs w:val="28"/>
        </w:rPr>
        <w:t>0(北京时间）至递交响应文件截止时间。</w:t>
      </w:r>
    </w:p>
    <w:p>
      <w:pPr>
        <w:pStyle w:val="18"/>
        <w:spacing w:after="231" w:afterLines="50" w:line="420" w:lineRule="exact"/>
        <w:ind w:firstLine="480"/>
        <w:rPr>
          <w:rFonts w:hAnsi="宋体" w:cs="宋体"/>
          <w:b/>
          <w:bCs/>
          <w:color w:val="auto"/>
          <w:sz w:val="24"/>
          <w:szCs w:val="24"/>
        </w:rPr>
      </w:pPr>
      <w:r>
        <w:rPr>
          <w:rFonts w:hint="eastAsia" w:hAnsi="宋体" w:cs="宋体"/>
          <w:color w:val="auto"/>
          <w:sz w:val="24"/>
          <w:szCs w:val="24"/>
        </w:rPr>
        <w:t>响应文件必须在递交响应文件截止时间前送达开标地点。逾期送达的响应文件恕不接受。</w:t>
      </w:r>
      <w:r>
        <w:rPr>
          <w:rFonts w:hint="eastAsia" w:hAnsi="宋体" w:cs="宋体"/>
          <w:b/>
          <w:bCs/>
          <w:color w:val="auto"/>
          <w:sz w:val="24"/>
          <w:szCs w:val="24"/>
        </w:rPr>
        <w:t>本次比选</w:t>
      </w:r>
      <w:r>
        <w:rPr>
          <w:rFonts w:hint="eastAsia" w:hAnsi="宋体" w:cs="宋体"/>
          <w:b/>
          <w:bCs/>
          <w:color w:val="auto"/>
          <w:sz w:val="24"/>
          <w:szCs w:val="24"/>
          <w:lang w:val="en-US" w:eastAsia="zh-CN"/>
        </w:rPr>
        <w:t>不</w:t>
      </w:r>
      <w:r>
        <w:rPr>
          <w:rFonts w:hint="eastAsia" w:hAnsi="宋体" w:cs="宋体"/>
          <w:b/>
          <w:bCs/>
          <w:color w:val="auto"/>
          <w:sz w:val="24"/>
          <w:szCs w:val="24"/>
        </w:rPr>
        <w:t>接受邮寄的响应文件。</w:t>
      </w:r>
    </w:p>
    <w:p>
      <w:pPr>
        <w:spacing w:after="120"/>
        <w:rPr>
          <w:rFonts w:hAnsi="宋体" w:cs="宋体"/>
          <w:color w:val="auto"/>
          <w:sz w:val="24"/>
          <w:szCs w:val="24"/>
          <w:u w:val="single"/>
        </w:rPr>
      </w:pPr>
      <w:r>
        <w:rPr>
          <w:rFonts w:hint="eastAsia" w:hAnsi="宋体" w:cs="宋体"/>
          <w:b/>
          <w:color w:val="auto"/>
          <w:sz w:val="24"/>
        </w:rPr>
        <w:t>九、递交响应文件地点：四川国际招标有限责任公司泸州办事处开标厅。</w:t>
      </w:r>
    </w:p>
    <w:p>
      <w:pPr>
        <w:spacing w:after="50" w:line="420" w:lineRule="exact"/>
        <w:rPr>
          <w:rFonts w:hAnsi="宋体" w:cs="宋体"/>
          <w:color w:val="auto"/>
          <w:sz w:val="24"/>
          <w:szCs w:val="24"/>
        </w:rPr>
      </w:pPr>
      <w:r>
        <w:rPr>
          <w:rFonts w:hint="eastAsia" w:hAnsi="宋体" w:cs="宋体"/>
          <w:b/>
          <w:bCs/>
          <w:color w:val="auto"/>
          <w:sz w:val="24"/>
          <w:szCs w:val="24"/>
        </w:rPr>
        <w:t>具体地址：泸州市金融中心佳乐世纪城7号楼904室。</w:t>
      </w:r>
    </w:p>
    <w:p>
      <w:pPr>
        <w:spacing w:after="231" w:afterLines="50"/>
        <w:rPr>
          <w:rFonts w:hAnsi="宋体" w:cs="宋体"/>
          <w:color w:val="auto"/>
          <w:sz w:val="24"/>
          <w:szCs w:val="24"/>
        </w:rPr>
      </w:pPr>
      <w:r>
        <w:rPr>
          <w:rFonts w:hint="eastAsia" w:hAnsi="宋体" w:cs="宋体"/>
          <w:b/>
          <w:color w:val="auto"/>
          <w:sz w:val="24"/>
          <w:szCs w:val="28"/>
        </w:rPr>
        <w:t>十、响应文件开启时间：</w:t>
      </w:r>
      <w:r>
        <w:rPr>
          <w:rFonts w:hint="eastAsia" w:hAnsi="宋体" w:cs="宋体"/>
          <w:b/>
          <w:bCs/>
          <w:color w:val="auto"/>
          <w:sz w:val="24"/>
          <w:szCs w:val="24"/>
        </w:rPr>
        <w:t>20</w:t>
      </w:r>
      <w:r>
        <w:rPr>
          <w:rFonts w:hint="eastAsia" w:hAnsi="宋体" w:cs="宋体"/>
          <w:b/>
          <w:bCs/>
          <w:color w:val="auto"/>
          <w:sz w:val="24"/>
          <w:szCs w:val="24"/>
          <w:lang w:val="en-US" w:eastAsia="zh-CN"/>
        </w:rPr>
        <w:t>24</w:t>
      </w:r>
      <w:r>
        <w:rPr>
          <w:rFonts w:hint="eastAsia" w:hAnsi="宋体" w:cs="宋体"/>
          <w:b/>
          <w:bCs/>
          <w:color w:val="auto"/>
          <w:sz w:val="24"/>
          <w:szCs w:val="24"/>
        </w:rPr>
        <w:t>年</w:t>
      </w:r>
      <w:r>
        <w:rPr>
          <w:rFonts w:hint="eastAsia" w:hAnsi="宋体" w:cs="宋体"/>
          <w:b/>
          <w:bCs/>
          <w:color w:val="auto"/>
          <w:sz w:val="24"/>
          <w:szCs w:val="24"/>
          <w:lang w:val="en-US" w:eastAsia="zh-CN"/>
        </w:rPr>
        <w:t>07</w:t>
      </w:r>
      <w:r>
        <w:rPr>
          <w:rFonts w:hint="eastAsia" w:hAnsi="宋体" w:cs="宋体"/>
          <w:b/>
          <w:bCs/>
          <w:color w:val="auto"/>
          <w:sz w:val="24"/>
          <w:szCs w:val="24"/>
        </w:rPr>
        <w:t>月</w:t>
      </w:r>
      <w:r>
        <w:rPr>
          <w:rFonts w:hint="eastAsia" w:hAnsi="宋体" w:cs="宋体"/>
          <w:b/>
          <w:bCs/>
          <w:color w:val="auto"/>
          <w:sz w:val="24"/>
          <w:szCs w:val="24"/>
          <w:lang w:val="en-US" w:eastAsia="zh-CN"/>
        </w:rPr>
        <w:t>18</w:t>
      </w:r>
      <w:r>
        <w:rPr>
          <w:rFonts w:hint="eastAsia" w:hAnsi="宋体" w:cs="宋体"/>
          <w:b/>
          <w:bCs/>
          <w:color w:val="auto"/>
          <w:sz w:val="24"/>
          <w:szCs w:val="24"/>
        </w:rPr>
        <w:t>日</w:t>
      </w:r>
      <w:r>
        <w:rPr>
          <w:rFonts w:hint="eastAsia" w:hAnsi="宋体" w:cs="宋体"/>
          <w:b/>
          <w:bCs/>
          <w:color w:val="auto"/>
          <w:sz w:val="24"/>
          <w:szCs w:val="24"/>
          <w:lang w:val="en-US" w:eastAsia="zh-CN"/>
        </w:rPr>
        <w:t>上</w:t>
      </w:r>
      <w:r>
        <w:rPr>
          <w:rFonts w:hint="eastAsia" w:hAnsi="宋体" w:cs="宋体"/>
          <w:b/>
          <w:bCs/>
          <w:color w:val="auto"/>
          <w:sz w:val="24"/>
          <w:szCs w:val="24"/>
        </w:rPr>
        <w:t>午</w:t>
      </w:r>
      <w:r>
        <w:rPr>
          <w:rFonts w:hint="eastAsia" w:hAnsi="宋体" w:cs="宋体"/>
          <w:b/>
          <w:bCs/>
          <w:color w:val="auto"/>
          <w:sz w:val="24"/>
          <w:szCs w:val="24"/>
          <w:lang w:val="en-US" w:eastAsia="zh-CN"/>
        </w:rPr>
        <w:t>9</w:t>
      </w:r>
      <w:r>
        <w:rPr>
          <w:rFonts w:hint="eastAsia" w:hAnsi="宋体" w:cs="宋体"/>
          <w:b/>
          <w:bCs/>
          <w:color w:val="auto"/>
          <w:sz w:val="24"/>
          <w:szCs w:val="24"/>
          <w:u w:val="single"/>
        </w:rPr>
        <w:t>：</w:t>
      </w:r>
      <w:r>
        <w:rPr>
          <w:rFonts w:hint="eastAsia" w:hAnsi="宋体" w:cs="宋体"/>
          <w:b/>
          <w:bCs/>
          <w:color w:val="auto"/>
          <w:sz w:val="24"/>
          <w:szCs w:val="24"/>
          <w:u w:val="single"/>
          <w:lang w:val="en-US" w:eastAsia="zh-CN"/>
        </w:rPr>
        <w:t>3</w:t>
      </w:r>
      <w:r>
        <w:rPr>
          <w:rFonts w:hint="eastAsia" w:hAnsi="宋体" w:cs="宋体"/>
          <w:b/>
          <w:bCs/>
          <w:color w:val="auto"/>
          <w:sz w:val="24"/>
          <w:szCs w:val="24"/>
          <w:u w:val="single"/>
        </w:rPr>
        <w:t>0</w:t>
      </w:r>
      <w:r>
        <w:rPr>
          <w:rFonts w:hint="eastAsia" w:hAnsi="宋体" w:cs="宋体"/>
          <w:b/>
          <w:bCs/>
          <w:color w:val="auto"/>
          <w:sz w:val="24"/>
          <w:szCs w:val="24"/>
        </w:rPr>
        <w:t>时</w:t>
      </w:r>
      <w:r>
        <w:rPr>
          <w:rFonts w:hint="eastAsia" w:hAnsi="宋体" w:cs="宋体"/>
          <w:color w:val="auto"/>
          <w:sz w:val="24"/>
          <w:szCs w:val="24"/>
        </w:rPr>
        <w:t>（北京时间）。</w:t>
      </w:r>
    </w:p>
    <w:p>
      <w:pPr>
        <w:spacing w:after="120"/>
        <w:rPr>
          <w:rFonts w:hint="eastAsia" w:hAnsi="宋体" w:cs="宋体"/>
          <w:b/>
          <w:color w:val="auto"/>
          <w:sz w:val="24"/>
        </w:rPr>
      </w:pPr>
      <w:r>
        <w:rPr>
          <w:rFonts w:hint="eastAsia" w:hAnsi="宋体" w:cs="宋体"/>
          <w:b/>
          <w:color w:val="auto"/>
          <w:sz w:val="24"/>
        </w:rPr>
        <w:t>十一、</w:t>
      </w:r>
      <w:r>
        <w:rPr>
          <w:rFonts w:hint="eastAsia" w:hAnsi="宋体" w:cs="宋体"/>
          <w:b/>
          <w:color w:val="auto"/>
          <w:sz w:val="24"/>
          <w:lang w:eastAsia="zh-CN"/>
        </w:rPr>
        <w:t>比选</w:t>
      </w:r>
      <w:r>
        <w:rPr>
          <w:rFonts w:hint="eastAsia" w:hAnsi="宋体" w:cs="宋体"/>
          <w:b/>
          <w:color w:val="auto"/>
          <w:sz w:val="24"/>
        </w:rPr>
        <w:t>地点：四川国际招标有限责任公司泸州办事处开标厅；</w:t>
      </w:r>
    </w:p>
    <w:p>
      <w:pPr>
        <w:spacing w:after="120"/>
        <w:ind w:firstLine="723" w:firstLineChars="300"/>
        <w:rPr>
          <w:rFonts w:hint="eastAsia" w:hAnsi="宋体" w:cs="宋体"/>
          <w:b/>
          <w:color w:val="auto"/>
          <w:sz w:val="24"/>
        </w:rPr>
      </w:pPr>
      <w:r>
        <w:rPr>
          <w:rFonts w:hint="eastAsia" w:hAnsi="宋体" w:cs="宋体"/>
          <w:b/>
          <w:color w:val="auto"/>
          <w:sz w:val="24"/>
        </w:rPr>
        <w:t>具体地址：泸州市金融中心佳乐世纪城7号楼904室；</w:t>
      </w:r>
    </w:p>
    <w:p>
      <w:pPr>
        <w:spacing w:after="120"/>
        <w:ind w:firstLine="723" w:firstLineChars="300"/>
        <w:rPr>
          <w:rFonts w:hint="eastAsia" w:hAnsi="宋体" w:cs="宋体"/>
          <w:b/>
          <w:color w:val="auto"/>
          <w:sz w:val="24"/>
        </w:rPr>
      </w:pPr>
    </w:p>
    <w:p>
      <w:pPr>
        <w:pStyle w:val="84"/>
        <w:spacing w:line="240" w:lineRule="auto"/>
        <w:ind w:firstLine="0" w:firstLineChars="0"/>
        <w:rPr>
          <w:rFonts w:ascii="宋体" w:hAnsi="宋体" w:cs="宋体"/>
          <w:b/>
          <w:color w:val="auto"/>
          <w:sz w:val="24"/>
        </w:rPr>
      </w:pPr>
      <w:r>
        <w:rPr>
          <w:rFonts w:hint="eastAsia" w:ascii="宋体" w:hAnsi="宋体" w:cs="宋体"/>
          <w:b/>
          <w:color w:val="auto"/>
          <w:sz w:val="24"/>
        </w:rPr>
        <w:t>十二、联系方式</w:t>
      </w:r>
    </w:p>
    <w:p>
      <w:pPr>
        <w:spacing w:after="120"/>
        <w:rPr>
          <w:rFonts w:hint="eastAsia" w:hAnsi="宋体" w:cs="宋体"/>
          <w:b w:val="0"/>
          <w:bCs/>
          <w:color w:val="auto"/>
          <w:sz w:val="24"/>
          <w:lang w:eastAsia="zh-CN"/>
        </w:rPr>
      </w:pPr>
      <w:bookmarkStart w:id="16" w:name="_Toc331850009"/>
      <w:bookmarkStart w:id="17" w:name="_Toc5046_WPSOffice_Level1"/>
      <w:bookmarkStart w:id="18" w:name="_Toc14774"/>
      <w:r>
        <w:rPr>
          <w:rFonts w:hint="eastAsia" w:hAnsi="宋体" w:cs="宋体"/>
          <w:b w:val="0"/>
          <w:bCs/>
          <w:color w:val="auto"/>
          <w:sz w:val="24"/>
          <w:lang w:val="en-US" w:eastAsia="zh-CN"/>
        </w:rPr>
        <w:t>比选</w:t>
      </w:r>
      <w:r>
        <w:rPr>
          <w:rFonts w:hint="eastAsia" w:hAnsi="宋体" w:cs="宋体"/>
          <w:b w:val="0"/>
          <w:bCs/>
          <w:color w:val="auto"/>
          <w:sz w:val="24"/>
        </w:rPr>
        <w:t>人：古蔺县中医医院</w:t>
      </w:r>
    </w:p>
    <w:p>
      <w:pPr>
        <w:spacing w:after="120"/>
        <w:rPr>
          <w:rFonts w:hint="eastAsia" w:hAnsi="宋体" w:cs="宋体"/>
          <w:b w:val="0"/>
          <w:bCs/>
          <w:color w:val="auto"/>
          <w:sz w:val="24"/>
          <w:lang w:val="en-US" w:eastAsia="zh-CN"/>
        </w:rPr>
      </w:pPr>
      <w:r>
        <w:rPr>
          <w:rFonts w:hint="eastAsia" w:hAnsi="宋体" w:cs="宋体"/>
          <w:b w:val="0"/>
          <w:bCs/>
          <w:color w:val="auto"/>
          <w:sz w:val="24"/>
        </w:rPr>
        <w:t>地  址：</w:t>
      </w:r>
      <w:r>
        <w:rPr>
          <w:rFonts w:hint="eastAsia" w:hAnsi="宋体" w:cs="宋体"/>
          <w:b w:val="0"/>
          <w:bCs/>
          <w:color w:val="auto"/>
          <w:sz w:val="24"/>
          <w:lang w:val="en-US" w:eastAsia="zh-CN"/>
        </w:rPr>
        <w:t>泸州市古蔺县金兰街道落鸿路56号</w:t>
      </w:r>
    </w:p>
    <w:p>
      <w:pPr>
        <w:spacing w:after="120"/>
        <w:rPr>
          <w:rFonts w:hint="eastAsia" w:hAnsi="宋体" w:cs="宋体"/>
          <w:b w:val="0"/>
          <w:bCs/>
          <w:color w:val="auto"/>
          <w:sz w:val="24"/>
          <w:lang w:val="en-US"/>
        </w:rPr>
      </w:pPr>
      <w:r>
        <w:rPr>
          <w:rFonts w:hint="eastAsia" w:hAnsi="宋体" w:cs="宋体"/>
          <w:b w:val="0"/>
          <w:bCs/>
          <w:color w:val="auto"/>
          <w:sz w:val="24"/>
        </w:rPr>
        <w:t>联系人：</w:t>
      </w:r>
      <w:r>
        <w:rPr>
          <w:rFonts w:hint="eastAsia" w:hAnsi="宋体" w:cs="宋体"/>
          <w:b w:val="0"/>
          <w:bCs/>
          <w:color w:val="auto"/>
          <w:sz w:val="24"/>
          <w:lang w:val="en-US" w:eastAsia="zh-CN"/>
        </w:rPr>
        <w:t>牟女士</w:t>
      </w:r>
    </w:p>
    <w:p>
      <w:pPr>
        <w:spacing w:after="120"/>
        <w:rPr>
          <w:rFonts w:hint="eastAsia" w:hAnsi="宋体" w:cs="宋体"/>
          <w:b w:val="0"/>
          <w:bCs/>
          <w:color w:val="auto"/>
          <w:sz w:val="24"/>
        </w:rPr>
      </w:pPr>
      <w:r>
        <w:rPr>
          <w:rFonts w:hint="eastAsia" w:hAnsi="宋体" w:cs="宋体"/>
          <w:b w:val="0"/>
          <w:bCs/>
          <w:color w:val="auto"/>
          <w:sz w:val="24"/>
        </w:rPr>
        <w:t>联系电话：</w:t>
      </w:r>
      <w:r>
        <w:rPr>
          <w:rFonts w:hint="eastAsia" w:hAnsi="宋体" w:cs="宋体"/>
          <w:b w:val="0"/>
          <w:bCs/>
          <w:color w:val="auto"/>
          <w:sz w:val="24"/>
          <w:lang w:val="en-US" w:eastAsia="zh-CN"/>
        </w:rPr>
        <w:t>0830-7102530</w:t>
      </w:r>
    </w:p>
    <w:p>
      <w:pPr>
        <w:ind w:firstLine="2530" w:firstLineChars="700"/>
        <w:rPr>
          <w:rFonts w:hint="eastAsia" w:hAnsi="宋体" w:cs="宋体"/>
          <w:b/>
          <w:bCs/>
          <w:color w:val="auto"/>
          <w:sz w:val="36"/>
        </w:rPr>
      </w:pPr>
    </w:p>
    <w:p>
      <w:pPr>
        <w:ind w:firstLine="2530" w:firstLineChars="700"/>
        <w:rPr>
          <w:rFonts w:hint="eastAsia" w:hAnsi="宋体" w:cs="宋体"/>
          <w:b/>
          <w:bCs/>
          <w:color w:val="auto"/>
          <w:sz w:val="36"/>
        </w:rPr>
      </w:pPr>
    </w:p>
    <w:p>
      <w:pPr>
        <w:ind w:firstLine="2530" w:firstLineChars="700"/>
        <w:rPr>
          <w:rFonts w:hint="eastAsia" w:hAnsi="宋体" w:cs="宋体"/>
          <w:b/>
          <w:bCs/>
          <w:color w:val="auto"/>
          <w:sz w:val="36"/>
        </w:rPr>
      </w:pPr>
    </w:p>
    <w:p>
      <w:pPr>
        <w:ind w:firstLine="2530" w:firstLineChars="700"/>
        <w:rPr>
          <w:rFonts w:hint="eastAsia" w:hAnsi="宋体" w:cs="宋体"/>
          <w:b/>
          <w:bCs/>
          <w:color w:val="auto"/>
          <w:sz w:val="36"/>
        </w:rPr>
      </w:pPr>
    </w:p>
    <w:p>
      <w:pPr>
        <w:ind w:firstLine="2530" w:firstLineChars="700"/>
        <w:rPr>
          <w:rFonts w:hint="eastAsia" w:hAnsi="宋体" w:cs="宋体"/>
          <w:b/>
          <w:bCs/>
          <w:color w:val="auto"/>
          <w:sz w:val="36"/>
        </w:rPr>
      </w:pPr>
    </w:p>
    <w:p>
      <w:pPr>
        <w:ind w:firstLine="2530" w:firstLineChars="700"/>
        <w:rPr>
          <w:rFonts w:hint="eastAsia" w:hAnsi="宋体" w:cs="宋体"/>
          <w:b/>
          <w:bCs/>
          <w:color w:val="auto"/>
          <w:sz w:val="36"/>
        </w:rPr>
      </w:pPr>
    </w:p>
    <w:p>
      <w:pPr>
        <w:ind w:firstLine="2530" w:firstLineChars="700"/>
        <w:rPr>
          <w:rFonts w:hint="eastAsia" w:hAnsi="宋体" w:cs="宋体"/>
          <w:b/>
          <w:bCs/>
          <w:color w:val="auto"/>
          <w:sz w:val="36"/>
        </w:rPr>
      </w:pPr>
    </w:p>
    <w:p>
      <w:pPr>
        <w:rPr>
          <w:rFonts w:hint="eastAsia" w:hAnsi="宋体" w:cs="宋体"/>
          <w:b/>
          <w:bCs/>
          <w:color w:val="auto"/>
          <w:sz w:val="36"/>
        </w:rPr>
      </w:pPr>
    </w:p>
    <w:p>
      <w:pPr>
        <w:ind w:firstLine="2530" w:firstLineChars="700"/>
        <w:rPr>
          <w:rFonts w:hAnsi="宋体" w:cs="宋体"/>
          <w:b/>
          <w:bCs/>
          <w:color w:val="auto"/>
          <w:sz w:val="36"/>
        </w:rPr>
      </w:pPr>
      <w:r>
        <w:rPr>
          <w:rFonts w:hint="eastAsia" w:hAnsi="宋体" w:cs="宋体"/>
          <w:b/>
          <w:bCs/>
          <w:color w:val="auto"/>
          <w:sz w:val="36"/>
        </w:rPr>
        <w:t>第二章  供应商须知</w:t>
      </w:r>
      <w:bookmarkEnd w:id="6"/>
      <w:bookmarkEnd w:id="7"/>
      <w:bookmarkEnd w:id="8"/>
      <w:bookmarkEnd w:id="9"/>
      <w:bookmarkEnd w:id="10"/>
      <w:bookmarkEnd w:id="16"/>
      <w:bookmarkEnd w:id="17"/>
      <w:bookmarkEnd w:id="18"/>
      <w:bookmarkStart w:id="19" w:name="_Toc184283909"/>
      <w:bookmarkStart w:id="20" w:name="_Toc184274915"/>
    </w:p>
    <w:p>
      <w:pPr>
        <w:pStyle w:val="3"/>
        <w:spacing w:line="400" w:lineRule="exact"/>
        <w:ind w:right="537" w:rightChars="158" w:firstLine="2811" w:firstLineChars="1000"/>
        <w:rPr>
          <w:rFonts w:ascii="仿宋" w:hAnsi="仿宋" w:eastAsia="仿宋" w:cs="仿宋"/>
          <w:color w:val="auto"/>
        </w:rPr>
      </w:pPr>
      <w:bookmarkStart w:id="21" w:name="_Toc213396760"/>
      <w:bookmarkStart w:id="22" w:name="_Toc331850010"/>
      <w:bookmarkStart w:id="23" w:name="_Toc331160522"/>
      <w:bookmarkStart w:id="24" w:name="_Toc213396946"/>
      <w:bookmarkStart w:id="25" w:name="_Toc213496268"/>
      <w:bookmarkStart w:id="26" w:name="_Toc217446032"/>
      <w:bookmarkStart w:id="27" w:name="_Toc213397010"/>
      <w:bookmarkStart w:id="28" w:name="_Toc189727030"/>
      <w:r>
        <w:rPr>
          <w:rFonts w:hint="eastAsia" w:ascii="宋体" w:hAnsi="宋体" w:eastAsia="宋体" w:cs="宋体"/>
          <w:color w:val="auto"/>
        </w:rPr>
        <w:t>一、供应商须知前附表</w:t>
      </w:r>
      <w:bookmarkEnd w:id="19"/>
      <w:bookmarkEnd w:id="20"/>
      <w:bookmarkEnd w:id="21"/>
      <w:bookmarkEnd w:id="22"/>
      <w:bookmarkEnd w:id="23"/>
      <w:bookmarkEnd w:id="24"/>
      <w:bookmarkEnd w:id="25"/>
      <w:bookmarkEnd w:id="26"/>
      <w:bookmarkEnd w:id="27"/>
      <w:bookmarkEnd w:id="28"/>
    </w:p>
    <w:tbl>
      <w:tblPr>
        <w:tblStyle w:val="37"/>
        <w:tblW w:w="90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5"/>
        <w:gridCol w:w="166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05" w:type="dxa"/>
            <w:vAlign w:val="center"/>
          </w:tcPr>
          <w:p>
            <w:pPr>
              <w:pStyle w:val="114"/>
              <w:ind w:left="9"/>
              <w:jc w:val="center"/>
              <w:rPr>
                <w:rFonts w:cs="宋体"/>
                <w:b/>
                <w:bCs/>
                <w:color w:val="auto"/>
                <w:sz w:val="21"/>
                <w:szCs w:val="21"/>
                <w:lang w:val="zh-CN"/>
              </w:rPr>
            </w:pPr>
            <w:r>
              <w:rPr>
                <w:rFonts w:hint="eastAsia" w:cs="宋体"/>
                <w:b/>
                <w:bCs/>
                <w:color w:val="auto"/>
                <w:sz w:val="21"/>
                <w:szCs w:val="21"/>
                <w:lang w:val="zh-CN"/>
              </w:rPr>
              <w:t xml:space="preserve">序号 </w:t>
            </w:r>
          </w:p>
        </w:tc>
        <w:tc>
          <w:tcPr>
            <w:tcW w:w="1662" w:type="dxa"/>
            <w:vAlign w:val="center"/>
          </w:tcPr>
          <w:p>
            <w:pPr>
              <w:pStyle w:val="114"/>
              <w:ind w:left="38"/>
              <w:jc w:val="center"/>
              <w:rPr>
                <w:rFonts w:cs="宋体"/>
                <w:b/>
                <w:bCs/>
                <w:color w:val="auto"/>
                <w:sz w:val="21"/>
                <w:szCs w:val="21"/>
                <w:lang w:val="zh-CN"/>
              </w:rPr>
            </w:pPr>
            <w:r>
              <w:rPr>
                <w:rFonts w:hint="eastAsia" w:cs="宋体"/>
                <w:b/>
                <w:bCs/>
                <w:color w:val="auto"/>
                <w:sz w:val="21"/>
                <w:szCs w:val="21"/>
                <w:lang w:val="zh-CN"/>
              </w:rPr>
              <w:t xml:space="preserve">条款名称 </w:t>
            </w:r>
          </w:p>
        </w:tc>
        <w:tc>
          <w:tcPr>
            <w:tcW w:w="6681" w:type="dxa"/>
            <w:vAlign w:val="center"/>
          </w:tcPr>
          <w:p>
            <w:pPr>
              <w:pStyle w:val="114"/>
              <w:jc w:val="center"/>
              <w:rPr>
                <w:rFonts w:cs="宋体"/>
                <w:b/>
                <w:bCs/>
                <w:color w:val="auto"/>
                <w:sz w:val="21"/>
                <w:szCs w:val="21"/>
                <w:lang w:val="zh-CN"/>
              </w:rPr>
            </w:pPr>
            <w:r>
              <w:rPr>
                <w:rFonts w:hint="eastAsia" w:cs="宋体"/>
                <w:b/>
                <w:bCs/>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8" w:hRule="atLeas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 xml:space="preserve">  1</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比选人</w:t>
            </w:r>
          </w:p>
        </w:tc>
        <w:tc>
          <w:tcPr>
            <w:tcW w:w="6681" w:type="dxa"/>
            <w:vAlign w:val="center"/>
          </w:tcPr>
          <w:p>
            <w:pPr>
              <w:pStyle w:val="114"/>
              <w:spacing w:line="360" w:lineRule="auto"/>
              <w:rPr>
                <w:rFonts w:cs="宋体"/>
                <w:color w:val="auto"/>
                <w:sz w:val="21"/>
                <w:szCs w:val="21"/>
              </w:rPr>
            </w:pPr>
            <w:r>
              <w:rPr>
                <w:rFonts w:hint="eastAsia" w:cs="宋体"/>
                <w:color w:val="auto"/>
                <w:sz w:val="21"/>
                <w:szCs w:val="21"/>
                <w:lang w:val="zh-CN"/>
              </w:rPr>
              <w:t>名    称: 古蔺县中医医院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9"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 xml:space="preserve">  2</w:t>
            </w:r>
          </w:p>
        </w:tc>
        <w:tc>
          <w:tcPr>
            <w:tcW w:w="1662" w:type="dxa"/>
            <w:vAlign w:val="center"/>
          </w:tcPr>
          <w:p>
            <w:pPr>
              <w:pStyle w:val="114"/>
              <w:ind w:left="110"/>
              <w:jc w:val="center"/>
              <w:rPr>
                <w:rFonts w:cs="宋体"/>
                <w:color w:val="auto"/>
                <w:sz w:val="21"/>
                <w:szCs w:val="21"/>
              </w:rPr>
            </w:pPr>
            <w:r>
              <w:rPr>
                <w:rFonts w:hint="eastAsia" w:cs="宋体"/>
                <w:color w:val="auto"/>
                <w:sz w:val="21"/>
                <w:szCs w:val="21"/>
                <w:lang w:val="zh-CN"/>
              </w:rPr>
              <w:t>项目名称</w:t>
            </w:r>
            <w:r>
              <w:rPr>
                <w:rFonts w:hint="eastAsia" w:cs="宋体"/>
                <w:color w:val="auto"/>
                <w:sz w:val="21"/>
                <w:szCs w:val="21"/>
              </w:rPr>
              <w:t>及编号</w:t>
            </w:r>
          </w:p>
        </w:tc>
        <w:tc>
          <w:tcPr>
            <w:tcW w:w="6681" w:type="dxa"/>
            <w:vAlign w:val="center"/>
          </w:tcPr>
          <w:p>
            <w:pPr>
              <w:rPr>
                <w:rFonts w:hint="default" w:cs="宋体"/>
                <w:b/>
                <w:bCs/>
                <w:color w:val="auto"/>
                <w:sz w:val="21"/>
                <w:szCs w:val="21"/>
                <w:lang w:val="en-US"/>
              </w:rPr>
            </w:pPr>
            <w:r>
              <w:rPr>
                <w:rFonts w:hint="eastAsia" w:cs="宋体"/>
                <w:b/>
                <w:bCs/>
                <w:color w:val="auto"/>
                <w:sz w:val="21"/>
                <w:szCs w:val="21"/>
                <w:lang w:val="zh-CN"/>
              </w:rPr>
              <w:t>项目名称：</w:t>
            </w:r>
            <w:r>
              <w:rPr>
                <w:rFonts w:hint="default" w:cs="宋体"/>
                <w:b/>
                <w:bCs/>
                <w:color w:val="auto"/>
                <w:sz w:val="21"/>
                <w:szCs w:val="21"/>
                <w:lang w:val="en-US"/>
              </w:rPr>
              <w:t>古蔺县中医医院检验试剂配送服务比选采购项目</w:t>
            </w:r>
          </w:p>
          <w:p>
            <w:pPr>
              <w:rPr>
                <w:rFonts w:hint="default" w:hAnsi="宋体" w:eastAsia="宋体" w:cs="宋体"/>
                <w:b/>
                <w:color w:val="auto"/>
                <w:sz w:val="21"/>
                <w:szCs w:val="21"/>
                <w:lang w:val="en-US" w:eastAsia="zh-CN"/>
              </w:rPr>
            </w:pPr>
            <w:r>
              <w:rPr>
                <w:rFonts w:hint="eastAsia" w:hAnsi="宋体" w:cs="宋体"/>
                <w:b/>
                <w:color w:val="auto"/>
                <w:sz w:val="21"/>
                <w:szCs w:val="21"/>
              </w:rPr>
              <w:t>项目编号：</w:t>
            </w:r>
            <w:r>
              <w:rPr>
                <w:rFonts w:hint="default" w:hAnsi="宋体" w:cs="宋体"/>
                <w:b/>
                <w:color w:val="auto"/>
                <w:sz w:val="21"/>
                <w:szCs w:val="21"/>
                <w:lang w:val="en-US" w:eastAsia="zh-CN"/>
              </w:rPr>
              <w:t>GLXZYYY202407001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19"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3</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预算金额（最高限价）</w:t>
            </w:r>
          </w:p>
        </w:tc>
        <w:tc>
          <w:tcPr>
            <w:tcW w:w="6681" w:type="dxa"/>
          </w:tcPr>
          <w:p>
            <w:pPr>
              <w:spacing w:line="240" w:lineRule="auto"/>
              <w:ind w:right="51" w:rightChars="15"/>
              <w:jc w:val="left"/>
              <w:rPr>
                <w:rFonts w:cs="宋体"/>
                <w:bCs/>
                <w:color w:val="auto"/>
                <w:sz w:val="21"/>
                <w:szCs w:val="21"/>
              </w:rPr>
            </w:pPr>
            <w:r>
              <w:rPr>
                <w:rFonts w:hint="eastAsia" w:hAnsi="宋体" w:cs="宋体"/>
                <w:bCs/>
                <w:color w:val="auto"/>
                <w:sz w:val="21"/>
                <w:szCs w:val="21"/>
              </w:rPr>
              <w:t>本项目预算金额（最高限价）：</w:t>
            </w:r>
            <w:r>
              <w:rPr>
                <w:rFonts w:hint="eastAsia" w:hAnsi="宋体" w:cs="宋体"/>
                <w:bCs/>
                <w:color w:val="auto"/>
                <w:sz w:val="21"/>
                <w:szCs w:val="21"/>
                <w:lang w:val="en-US" w:eastAsia="zh-CN"/>
              </w:rPr>
              <w:t>单价招标，按时结算</w:t>
            </w:r>
            <w:r>
              <w:rPr>
                <w:rFonts w:hint="eastAsia" w:hAnsi="宋体" w:cs="宋体"/>
                <w:bCs/>
                <w:color w:val="auto"/>
                <w:sz w:val="21"/>
                <w:szCs w:val="21"/>
              </w:rPr>
              <w:t>。</w:t>
            </w:r>
          </w:p>
          <w:p>
            <w:pPr>
              <w:pStyle w:val="114"/>
              <w:spacing w:line="240" w:lineRule="auto"/>
              <w:rPr>
                <w:rFonts w:hint="default" w:eastAsia="宋体" w:cs="宋体"/>
                <w:bCs/>
                <w:color w:val="auto"/>
                <w:sz w:val="21"/>
                <w:szCs w:val="21"/>
                <w:lang w:val="en-US" w:eastAsia="zh-CN"/>
              </w:rPr>
            </w:pPr>
            <w:r>
              <w:rPr>
                <w:rFonts w:hint="eastAsia" w:cs="宋体"/>
                <w:bCs/>
                <w:color w:val="auto"/>
                <w:sz w:val="21"/>
                <w:szCs w:val="21"/>
                <w:lang w:val="en-US" w:eastAsia="zh-CN"/>
              </w:rPr>
              <w:t>各产品最高限价：详见技术服务要求，有明确价格要求的按要求的价格执行，未明确具体金额的产品的限价为：结算当月在“四川省医疗保障信息大数据一体化平台药品和医用耗材招采管理子系统”公布的“截止上月末全省医疗机构采购加权平均价”、“联动参考价”、“我省最高参考价”中取三者最低价作为最高限价。</w:t>
            </w:r>
          </w:p>
          <w:p>
            <w:pPr>
              <w:pStyle w:val="114"/>
              <w:rPr>
                <w:rFonts w:cs="宋体"/>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43"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4</w:t>
            </w:r>
          </w:p>
        </w:tc>
        <w:tc>
          <w:tcPr>
            <w:tcW w:w="1662" w:type="dxa"/>
            <w:vAlign w:val="center"/>
          </w:tcPr>
          <w:p>
            <w:pPr>
              <w:pStyle w:val="114"/>
              <w:spacing w:line="240" w:lineRule="exact"/>
              <w:ind w:left="38"/>
              <w:jc w:val="center"/>
              <w:rPr>
                <w:color w:val="auto"/>
                <w:kern w:val="2"/>
                <w:sz w:val="21"/>
                <w:szCs w:val="21"/>
              </w:rPr>
            </w:pPr>
            <w:r>
              <w:rPr>
                <w:rFonts w:hint="eastAsia"/>
                <w:color w:val="auto"/>
                <w:kern w:val="2"/>
                <w:sz w:val="21"/>
                <w:szCs w:val="21"/>
              </w:rPr>
              <w:t>低于成本价不正当</w:t>
            </w:r>
          </w:p>
          <w:p>
            <w:pPr>
              <w:pStyle w:val="114"/>
              <w:spacing w:line="240" w:lineRule="exact"/>
              <w:ind w:left="38"/>
              <w:jc w:val="center"/>
              <w:rPr>
                <w:color w:val="auto"/>
                <w:kern w:val="2"/>
                <w:sz w:val="21"/>
                <w:szCs w:val="21"/>
              </w:rPr>
            </w:pPr>
            <w:r>
              <w:rPr>
                <w:rFonts w:hint="eastAsia"/>
                <w:color w:val="auto"/>
                <w:kern w:val="2"/>
                <w:sz w:val="21"/>
                <w:szCs w:val="21"/>
              </w:rPr>
              <w:t>竞争预防措施</w:t>
            </w:r>
          </w:p>
          <w:p>
            <w:pPr>
              <w:pStyle w:val="114"/>
              <w:spacing w:line="240" w:lineRule="exact"/>
              <w:ind w:left="38"/>
              <w:jc w:val="center"/>
              <w:rPr>
                <w:rFonts w:cs="宋体"/>
                <w:color w:val="auto"/>
                <w:sz w:val="21"/>
                <w:szCs w:val="21"/>
                <w:lang w:val="zh-CN"/>
              </w:rPr>
            </w:pPr>
            <w:r>
              <w:rPr>
                <w:rFonts w:hint="eastAsia"/>
                <w:color w:val="auto"/>
                <w:sz w:val="21"/>
                <w:szCs w:val="21"/>
              </w:rPr>
              <w:t>（实质性要求）</w:t>
            </w:r>
          </w:p>
        </w:tc>
        <w:tc>
          <w:tcPr>
            <w:tcW w:w="6681" w:type="dxa"/>
            <w:vAlign w:val="center"/>
          </w:tcPr>
          <w:p>
            <w:pPr>
              <w:pStyle w:val="114"/>
              <w:spacing w:line="240" w:lineRule="auto"/>
              <w:jc w:val="both"/>
              <w:rPr>
                <w:color w:val="auto"/>
                <w:sz w:val="21"/>
                <w:szCs w:val="21"/>
              </w:rPr>
            </w:pPr>
            <w:r>
              <w:rPr>
                <w:rFonts w:hint="eastAsia"/>
                <w:color w:val="auto"/>
                <w:sz w:val="21"/>
                <w:szCs w:val="21"/>
              </w:rPr>
              <w:t>1.在评审过程中，评标委员会认为供应商的报价或分项报价明显低于其他通过资格性，符合性审查供应商的报价，有可能影响产品质量或者不能诚信履约的，评标委员会应当要求其在评标现场合理的时间内（30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14"/>
              <w:spacing w:line="240" w:lineRule="auto"/>
              <w:jc w:val="both"/>
              <w:rPr>
                <w:rFonts w:cs="宋体"/>
                <w:color w:val="auto"/>
                <w:sz w:val="21"/>
                <w:szCs w:val="21"/>
              </w:rPr>
            </w:pPr>
            <w:r>
              <w:rPr>
                <w:rFonts w:hint="eastAsia"/>
                <w:color w:val="auto"/>
                <w:sz w:val="21"/>
                <w:szCs w:val="21"/>
              </w:rPr>
              <w:t>2.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有权）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5</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采购方式</w:t>
            </w:r>
          </w:p>
        </w:tc>
        <w:tc>
          <w:tcPr>
            <w:tcW w:w="6681" w:type="dxa"/>
            <w:vAlign w:val="center"/>
          </w:tcPr>
          <w:p>
            <w:pPr>
              <w:pStyle w:val="114"/>
              <w:ind w:left="110"/>
              <w:rPr>
                <w:rFonts w:cs="宋体"/>
                <w:color w:val="auto"/>
                <w:sz w:val="21"/>
                <w:szCs w:val="21"/>
                <w:lang w:val="zh-CN"/>
              </w:rPr>
            </w:pPr>
            <w:r>
              <w:rPr>
                <w:rFonts w:hint="eastAsia" w:cs="宋体"/>
                <w:color w:val="auto"/>
                <w:sz w:val="21"/>
                <w:szCs w:val="21"/>
                <w:lang w:val="zh-CN"/>
              </w:rPr>
              <w:t>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6</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评标方法</w:t>
            </w:r>
          </w:p>
        </w:tc>
        <w:tc>
          <w:tcPr>
            <w:tcW w:w="6681" w:type="dxa"/>
            <w:vAlign w:val="center"/>
          </w:tcPr>
          <w:p>
            <w:pPr>
              <w:pStyle w:val="114"/>
              <w:ind w:left="110"/>
              <w:rPr>
                <w:rFonts w:cs="宋体"/>
                <w:color w:val="auto"/>
                <w:sz w:val="21"/>
                <w:szCs w:val="21"/>
              </w:rPr>
            </w:pPr>
            <w:r>
              <w:rPr>
                <w:rFonts w:hint="eastAsia" w:cs="宋体"/>
                <w:color w:val="auto"/>
                <w:sz w:val="21"/>
                <w:szCs w:val="21"/>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7</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联合体投标</w:t>
            </w:r>
          </w:p>
        </w:tc>
        <w:tc>
          <w:tcPr>
            <w:tcW w:w="6681" w:type="dxa"/>
            <w:vAlign w:val="center"/>
          </w:tcPr>
          <w:p>
            <w:pPr>
              <w:pStyle w:val="114"/>
              <w:rPr>
                <w:rFonts w:cs="宋体"/>
                <w:color w:val="auto"/>
                <w:sz w:val="21"/>
                <w:szCs w:val="21"/>
                <w:lang w:val="zh-CN"/>
              </w:rPr>
            </w:pPr>
            <w:r>
              <w:rPr>
                <w:rFonts w:hint="eastAsia" w:cs="宋体"/>
                <w:color w:val="auto"/>
                <w:sz w:val="21"/>
                <w:szCs w:val="21"/>
              </w:rPr>
              <w:t>本次不接受联合体投标。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8</w:t>
            </w:r>
          </w:p>
        </w:tc>
        <w:tc>
          <w:tcPr>
            <w:tcW w:w="1662" w:type="dxa"/>
            <w:vAlign w:val="center"/>
          </w:tcPr>
          <w:p>
            <w:pPr>
              <w:pStyle w:val="114"/>
              <w:spacing w:line="280" w:lineRule="exact"/>
              <w:ind w:left="108"/>
              <w:jc w:val="center"/>
              <w:rPr>
                <w:rFonts w:cs="宋体"/>
                <w:color w:val="auto"/>
                <w:sz w:val="21"/>
                <w:szCs w:val="21"/>
                <w:lang w:val="zh-CN"/>
              </w:rPr>
            </w:pPr>
            <w:r>
              <w:rPr>
                <w:rFonts w:hint="eastAsia" w:cs="宋体"/>
                <w:color w:val="auto"/>
                <w:sz w:val="21"/>
                <w:szCs w:val="21"/>
                <w:lang w:val="zh-CN"/>
              </w:rPr>
              <w:t>构成比选文件的其他文件</w:t>
            </w:r>
          </w:p>
        </w:tc>
        <w:tc>
          <w:tcPr>
            <w:tcW w:w="6681" w:type="dxa"/>
            <w:vAlign w:val="center"/>
          </w:tcPr>
          <w:p>
            <w:pPr>
              <w:pStyle w:val="114"/>
              <w:spacing w:line="280" w:lineRule="exact"/>
              <w:rPr>
                <w:rFonts w:cs="宋体"/>
                <w:color w:val="auto"/>
                <w:sz w:val="21"/>
                <w:szCs w:val="21"/>
                <w:lang w:val="zh-CN"/>
              </w:rPr>
            </w:pPr>
            <w:bookmarkStart w:id="29" w:name="PO_默认文件内容_29"/>
            <w:r>
              <w:rPr>
                <w:rFonts w:hint="eastAsia" w:cs="宋体"/>
                <w:color w:val="auto"/>
                <w:sz w:val="21"/>
                <w:szCs w:val="21"/>
                <w:lang w:val="zh-CN"/>
              </w:rPr>
              <w:t>比选文件的澄清</w:t>
            </w:r>
            <w:r>
              <w:rPr>
                <w:rFonts w:hint="eastAsia" w:cs="宋体"/>
                <w:color w:val="auto"/>
                <w:sz w:val="21"/>
                <w:szCs w:val="21"/>
              </w:rPr>
              <w:t>、修改书及有关补充通知为比选文件的有效组成部分。</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9</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响应文件截止时间</w:t>
            </w:r>
          </w:p>
        </w:tc>
        <w:tc>
          <w:tcPr>
            <w:tcW w:w="6681" w:type="dxa"/>
            <w:vAlign w:val="center"/>
          </w:tcPr>
          <w:p>
            <w:pPr>
              <w:pStyle w:val="114"/>
              <w:jc w:val="both"/>
              <w:rPr>
                <w:rFonts w:cs="宋体"/>
                <w:color w:val="auto"/>
                <w:sz w:val="21"/>
                <w:szCs w:val="21"/>
                <w:lang w:val="zh-CN"/>
              </w:rPr>
            </w:pPr>
            <w:bookmarkStart w:id="30" w:name="PO_默认文件内容_30"/>
            <w:r>
              <w:rPr>
                <w:rFonts w:hint="eastAsia" w:cs="宋体"/>
                <w:color w:val="auto"/>
                <w:sz w:val="21"/>
                <w:szCs w:val="21"/>
              </w:rPr>
              <w:t>同第一章</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4"/>
              <w:ind w:right="230"/>
              <w:jc w:val="right"/>
              <w:rPr>
                <w:rFonts w:cs="宋体"/>
                <w:color w:val="auto"/>
                <w:sz w:val="21"/>
                <w:szCs w:val="21"/>
              </w:rPr>
            </w:pPr>
            <w:r>
              <w:rPr>
                <w:rFonts w:hint="eastAsia" w:cs="宋体"/>
                <w:color w:val="auto"/>
                <w:sz w:val="21"/>
                <w:szCs w:val="21"/>
              </w:rPr>
              <w:t>10</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响应文件有效期</w:t>
            </w:r>
          </w:p>
        </w:tc>
        <w:tc>
          <w:tcPr>
            <w:tcW w:w="6681" w:type="dxa"/>
            <w:vAlign w:val="center"/>
          </w:tcPr>
          <w:p>
            <w:pPr>
              <w:pStyle w:val="114"/>
              <w:rPr>
                <w:rFonts w:cs="宋体"/>
                <w:color w:val="auto"/>
                <w:sz w:val="21"/>
                <w:szCs w:val="21"/>
                <w:lang w:val="zh-CN"/>
              </w:rPr>
            </w:pPr>
            <w:r>
              <w:rPr>
                <w:rFonts w:hint="eastAsia" w:cs="宋体"/>
                <w:color w:val="auto"/>
                <w:sz w:val="21"/>
                <w:szCs w:val="21"/>
                <w:lang w:val="zh-CN"/>
              </w:rPr>
              <w:t>提交响应文件截止之日起90天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11</w:t>
            </w:r>
          </w:p>
        </w:tc>
        <w:tc>
          <w:tcPr>
            <w:tcW w:w="1662" w:type="dxa"/>
            <w:vAlign w:val="center"/>
          </w:tcPr>
          <w:p>
            <w:pPr>
              <w:pStyle w:val="114"/>
              <w:jc w:val="center"/>
              <w:rPr>
                <w:rFonts w:cs="宋体"/>
                <w:color w:val="auto"/>
                <w:sz w:val="21"/>
                <w:szCs w:val="21"/>
                <w:lang w:val="zh-CN"/>
              </w:rPr>
            </w:pPr>
            <w:r>
              <w:rPr>
                <w:rFonts w:hint="eastAsia" w:cs="宋体"/>
                <w:color w:val="auto"/>
                <w:sz w:val="21"/>
                <w:szCs w:val="21"/>
                <w:lang w:val="zh-CN"/>
              </w:rPr>
              <w:t>比选保证金</w:t>
            </w:r>
          </w:p>
        </w:tc>
        <w:tc>
          <w:tcPr>
            <w:tcW w:w="6681" w:type="dxa"/>
            <w:vAlign w:val="center"/>
          </w:tcPr>
          <w:p>
            <w:pPr>
              <w:pStyle w:val="114"/>
              <w:jc w:val="both"/>
              <w:rPr>
                <w:rFonts w:cs="宋体"/>
                <w:color w:val="auto"/>
                <w:sz w:val="21"/>
                <w:szCs w:val="21"/>
              </w:rPr>
            </w:pPr>
            <w:r>
              <w:rPr>
                <w:rFonts w:hint="eastAsia" w:cs="宋体"/>
                <w:color w:val="auto"/>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12</w:t>
            </w:r>
          </w:p>
        </w:tc>
        <w:tc>
          <w:tcPr>
            <w:tcW w:w="1662" w:type="dxa"/>
            <w:vAlign w:val="center"/>
          </w:tcPr>
          <w:p>
            <w:pPr>
              <w:pStyle w:val="114"/>
              <w:ind w:left="110" w:right="28"/>
              <w:rPr>
                <w:rFonts w:cs="宋体"/>
                <w:color w:val="auto"/>
                <w:sz w:val="21"/>
                <w:szCs w:val="21"/>
                <w:lang w:val="zh-CN"/>
              </w:rPr>
            </w:pPr>
            <w:r>
              <w:rPr>
                <w:rFonts w:hint="eastAsia" w:cs="宋体"/>
                <w:color w:val="auto"/>
                <w:sz w:val="21"/>
                <w:szCs w:val="21"/>
                <w:lang w:val="zh-CN"/>
              </w:rPr>
              <w:t>备选比选方案和报价</w:t>
            </w:r>
          </w:p>
        </w:tc>
        <w:tc>
          <w:tcPr>
            <w:tcW w:w="6681" w:type="dxa"/>
            <w:vAlign w:val="center"/>
          </w:tcPr>
          <w:p>
            <w:pPr>
              <w:pStyle w:val="114"/>
              <w:rPr>
                <w:rFonts w:cs="宋体"/>
                <w:color w:val="auto"/>
                <w:sz w:val="21"/>
                <w:szCs w:val="21"/>
                <w:lang w:val="zh-CN"/>
              </w:rPr>
            </w:pPr>
            <w:bookmarkStart w:id="31" w:name="PO_默认文件内容_33"/>
            <w:r>
              <w:rPr>
                <w:rFonts w:hint="eastAsia" w:cs="宋体"/>
                <w:color w:val="auto"/>
                <w:sz w:val="21"/>
                <w:szCs w:val="21"/>
                <w:lang w:val="zh-CN"/>
              </w:rPr>
              <w:t>不接受备选比选方案和多个报价。</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13</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签字盖章</w:t>
            </w:r>
          </w:p>
        </w:tc>
        <w:tc>
          <w:tcPr>
            <w:tcW w:w="6681" w:type="dxa"/>
            <w:vAlign w:val="center"/>
          </w:tcPr>
          <w:p>
            <w:pPr>
              <w:pStyle w:val="114"/>
              <w:rPr>
                <w:rFonts w:cs="宋体"/>
                <w:color w:val="auto"/>
                <w:sz w:val="21"/>
                <w:szCs w:val="21"/>
                <w:lang w:val="zh-CN"/>
              </w:rPr>
            </w:pPr>
            <w:bookmarkStart w:id="32" w:name="PO_默认文件内容_34"/>
            <w:r>
              <w:rPr>
                <w:rFonts w:hint="eastAsia" w:cs="宋体"/>
                <w:color w:val="auto"/>
                <w:sz w:val="21"/>
                <w:szCs w:val="21"/>
                <w:lang w:val="zh-CN"/>
              </w:rPr>
              <w:t>供应商必须按照比选文件的规定和要求签字、盖章。</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14</w:t>
            </w:r>
          </w:p>
        </w:tc>
        <w:tc>
          <w:tcPr>
            <w:tcW w:w="1662" w:type="dxa"/>
            <w:vAlign w:val="center"/>
          </w:tcPr>
          <w:p>
            <w:pPr>
              <w:pStyle w:val="114"/>
              <w:ind w:left="419" w:leftChars="53" w:hanging="239" w:hangingChars="114"/>
              <w:jc w:val="center"/>
              <w:rPr>
                <w:rFonts w:cs="宋体"/>
                <w:color w:val="auto"/>
                <w:sz w:val="21"/>
                <w:szCs w:val="21"/>
                <w:lang w:val="zh-CN"/>
              </w:rPr>
            </w:pPr>
            <w:r>
              <w:rPr>
                <w:rFonts w:hint="eastAsia" w:cs="宋体"/>
                <w:color w:val="auto"/>
                <w:sz w:val="21"/>
                <w:szCs w:val="21"/>
                <w:lang w:val="zh-CN"/>
              </w:rPr>
              <w:t>响应文件份数</w:t>
            </w:r>
          </w:p>
        </w:tc>
        <w:tc>
          <w:tcPr>
            <w:tcW w:w="6681" w:type="dxa"/>
            <w:vAlign w:val="center"/>
          </w:tcPr>
          <w:p>
            <w:pPr>
              <w:pStyle w:val="114"/>
              <w:rPr>
                <w:rFonts w:cs="宋体"/>
                <w:color w:val="auto"/>
                <w:sz w:val="21"/>
                <w:szCs w:val="21"/>
                <w:u w:val="single"/>
                <w:lang w:val="zh-CN"/>
              </w:rPr>
            </w:pPr>
            <w:r>
              <w:rPr>
                <w:rFonts w:hint="eastAsia" w:cs="宋体"/>
                <w:color w:val="auto"/>
                <w:sz w:val="21"/>
                <w:szCs w:val="21"/>
                <w:lang w:val="zh-CN"/>
              </w:rPr>
              <w:t>正本1份，</w:t>
            </w:r>
            <w:r>
              <w:rPr>
                <w:rFonts w:hint="eastAsia" w:cs="宋体"/>
                <w:color w:val="auto"/>
                <w:sz w:val="21"/>
                <w:szCs w:val="21"/>
                <w:lang w:val="en-US" w:eastAsia="zh-CN"/>
              </w:rPr>
              <w:t>副本2份，电子文档1份（U盘制作）</w:t>
            </w:r>
            <w:r>
              <w:rPr>
                <w:rFonts w:hint="eastAsia" w:cs="宋体"/>
                <w:color w:val="auto"/>
                <w:sz w:val="21"/>
                <w:szCs w:val="21"/>
                <w:lang w:val="zh-CN"/>
              </w:rPr>
              <w:t>。</w:t>
            </w:r>
            <w:r>
              <w:rPr>
                <w:rFonts w:hint="eastAsia" w:cs="宋体"/>
                <w:color w:val="auto"/>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15</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响应文件的装订</w:t>
            </w:r>
          </w:p>
        </w:tc>
        <w:tc>
          <w:tcPr>
            <w:tcW w:w="6681" w:type="dxa"/>
            <w:vAlign w:val="center"/>
          </w:tcPr>
          <w:p>
            <w:pPr>
              <w:pStyle w:val="114"/>
              <w:rPr>
                <w:rFonts w:cs="宋体"/>
                <w:color w:val="auto"/>
                <w:sz w:val="21"/>
                <w:szCs w:val="21"/>
              </w:rPr>
            </w:pPr>
            <w:r>
              <w:rPr>
                <w:rFonts w:hint="eastAsia" w:cs="宋体"/>
                <w:color w:val="auto"/>
                <w:sz w:val="21"/>
                <w:szCs w:val="21"/>
              </w:rPr>
              <w:t>胶装。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16</w:t>
            </w:r>
          </w:p>
        </w:tc>
        <w:tc>
          <w:tcPr>
            <w:tcW w:w="1662" w:type="dxa"/>
            <w:vAlign w:val="center"/>
          </w:tcPr>
          <w:p>
            <w:pPr>
              <w:pStyle w:val="114"/>
              <w:ind w:firstLine="109" w:firstLineChars="52"/>
              <w:jc w:val="center"/>
              <w:rPr>
                <w:rFonts w:cs="宋体"/>
                <w:color w:val="auto"/>
                <w:sz w:val="21"/>
                <w:szCs w:val="21"/>
                <w:lang w:val="zh-CN"/>
              </w:rPr>
            </w:pPr>
            <w:r>
              <w:rPr>
                <w:rFonts w:hint="eastAsia" w:cs="宋体"/>
                <w:color w:val="auto"/>
                <w:sz w:val="21"/>
                <w:szCs w:val="21"/>
                <w:lang w:val="zh-CN"/>
              </w:rPr>
              <w:t>响应文件封面的标注</w:t>
            </w:r>
          </w:p>
        </w:tc>
        <w:tc>
          <w:tcPr>
            <w:tcW w:w="6681" w:type="dxa"/>
            <w:vAlign w:val="center"/>
          </w:tcPr>
          <w:p>
            <w:pPr>
              <w:pStyle w:val="114"/>
              <w:jc w:val="both"/>
              <w:rPr>
                <w:rFonts w:cs="宋体"/>
                <w:color w:val="auto"/>
                <w:sz w:val="21"/>
                <w:szCs w:val="21"/>
                <w:lang w:val="zh-CN"/>
              </w:rPr>
            </w:pPr>
            <w:bookmarkStart w:id="33" w:name="PO_默认文件内容_36"/>
            <w:r>
              <w:rPr>
                <w:rFonts w:hint="eastAsia" w:cs="宋体"/>
                <w:color w:val="auto"/>
                <w:sz w:val="21"/>
                <w:szCs w:val="21"/>
                <w:lang w:val="zh-CN"/>
              </w:rPr>
              <w:t>响应文件应标明：项目名称、</w:t>
            </w:r>
            <w:r>
              <w:rPr>
                <w:rFonts w:hint="eastAsia" w:cs="宋体"/>
                <w:color w:val="auto"/>
                <w:sz w:val="21"/>
                <w:szCs w:val="21"/>
              </w:rPr>
              <w:t>项目编号、</w:t>
            </w:r>
            <w:r>
              <w:rPr>
                <w:rFonts w:hint="eastAsia" w:cs="宋体"/>
                <w:color w:val="auto"/>
                <w:sz w:val="21"/>
                <w:szCs w:val="21"/>
                <w:lang w:val="zh-CN"/>
              </w:rPr>
              <w:t>供应商名称、年月日；</w:t>
            </w:r>
            <w:bookmarkEnd w:id="3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17</w:t>
            </w:r>
          </w:p>
        </w:tc>
        <w:tc>
          <w:tcPr>
            <w:tcW w:w="1662" w:type="dxa"/>
            <w:vAlign w:val="center"/>
          </w:tcPr>
          <w:p>
            <w:pPr>
              <w:pStyle w:val="114"/>
              <w:ind w:left="110"/>
              <w:jc w:val="center"/>
              <w:rPr>
                <w:rFonts w:cs="宋体"/>
                <w:color w:val="auto"/>
                <w:sz w:val="21"/>
                <w:szCs w:val="21"/>
                <w:lang w:val="zh-CN"/>
              </w:rPr>
            </w:pPr>
            <w:r>
              <w:rPr>
                <w:rFonts w:hint="eastAsia" w:cs="宋体"/>
                <w:color w:val="auto"/>
                <w:sz w:val="21"/>
                <w:szCs w:val="21"/>
                <w:lang w:val="zh-CN"/>
              </w:rPr>
              <w:t>响应文件外层密封袋的标注</w:t>
            </w:r>
          </w:p>
        </w:tc>
        <w:tc>
          <w:tcPr>
            <w:tcW w:w="6681" w:type="dxa"/>
            <w:vAlign w:val="center"/>
          </w:tcPr>
          <w:p>
            <w:pPr>
              <w:pStyle w:val="114"/>
              <w:jc w:val="both"/>
              <w:rPr>
                <w:rFonts w:cs="宋体"/>
                <w:color w:val="auto"/>
                <w:sz w:val="21"/>
                <w:szCs w:val="21"/>
                <w:lang w:val="zh-CN"/>
              </w:rPr>
            </w:pPr>
            <w:bookmarkStart w:id="34" w:name="PO_默认文件内容_37"/>
            <w:r>
              <w:rPr>
                <w:rFonts w:hint="eastAsia" w:cs="宋体"/>
                <w:color w:val="auto"/>
                <w:sz w:val="21"/>
                <w:szCs w:val="21"/>
                <w:lang w:val="zh-CN"/>
              </w:rPr>
              <w:t>项目名称、供应商名称、</w:t>
            </w:r>
            <w:r>
              <w:rPr>
                <w:rFonts w:hint="eastAsia" w:cs="宋体"/>
                <w:color w:val="auto"/>
                <w:sz w:val="21"/>
                <w:szCs w:val="21"/>
              </w:rPr>
              <w:t>项目编号、</w:t>
            </w:r>
            <w:r>
              <w:rPr>
                <w:rFonts w:hint="eastAsia" w:cs="宋体"/>
                <w:color w:val="auto"/>
                <w:sz w:val="21"/>
                <w:szCs w:val="21"/>
                <w:lang w:val="zh-CN"/>
              </w:rPr>
              <w:t>年月日。</w:t>
            </w:r>
            <w:bookmarkEnd w:id="3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2" w:hRule="atLeast"/>
          <w:jc w:val="center"/>
        </w:trPr>
        <w:tc>
          <w:tcPr>
            <w:tcW w:w="705" w:type="dxa"/>
            <w:vAlign w:val="center"/>
          </w:tcPr>
          <w:p>
            <w:pPr>
              <w:pStyle w:val="114"/>
              <w:ind w:right="264"/>
              <w:jc w:val="right"/>
              <w:rPr>
                <w:rFonts w:cs="宋体"/>
                <w:color w:val="auto"/>
                <w:sz w:val="21"/>
                <w:szCs w:val="21"/>
              </w:rPr>
            </w:pPr>
            <w:r>
              <w:rPr>
                <w:rFonts w:hint="eastAsia" w:cs="宋体"/>
                <w:color w:val="auto"/>
                <w:sz w:val="21"/>
                <w:szCs w:val="21"/>
              </w:rPr>
              <w:t>18</w:t>
            </w:r>
          </w:p>
        </w:tc>
        <w:tc>
          <w:tcPr>
            <w:tcW w:w="1662" w:type="dxa"/>
            <w:vAlign w:val="center"/>
          </w:tcPr>
          <w:p>
            <w:pPr>
              <w:pStyle w:val="114"/>
              <w:ind w:firstLine="109" w:firstLineChars="52"/>
              <w:jc w:val="center"/>
              <w:rPr>
                <w:rFonts w:cs="宋体"/>
                <w:color w:val="auto"/>
                <w:sz w:val="21"/>
                <w:szCs w:val="21"/>
                <w:lang w:val="zh-CN"/>
              </w:rPr>
            </w:pPr>
            <w:r>
              <w:rPr>
                <w:rFonts w:hint="eastAsia" w:cs="宋体"/>
                <w:color w:val="auto"/>
                <w:sz w:val="21"/>
                <w:szCs w:val="21"/>
                <w:lang w:val="zh-CN"/>
              </w:rPr>
              <w:t>履约保证金</w:t>
            </w:r>
          </w:p>
        </w:tc>
        <w:tc>
          <w:tcPr>
            <w:tcW w:w="6681" w:type="dxa"/>
            <w:vAlign w:val="center"/>
          </w:tcPr>
          <w:p>
            <w:pPr>
              <w:pStyle w:val="114"/>
              <w:ind w:right="170" w:rightChars="50"/>
              <w:rPr>
                <w:rFonts w:cs="宋体"/>
                <w:color w:val="auto"/>
                <w:kern w:val="2"/>
                <w:sz w:val="21"/>
                <w:szCs w:val="21"/>
              </w:rPr>
            </w:pPr>
            <w:r>
              <w:rPr>
                <w:rFonts w:hint="eastAsia" w:cs="宋体"/>
                <w:color w:val="auto"/>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705" w:type="dxa"/>
            <w:vAlign w:val="center"/>
          </w:tcPr>
          <w:p>
            <w:pPr>
              <w:pStyle w:val="114"/>
              <w:ind w:right="264" w:rightChars="0"/>
              <w:jc w:val="right"/>
              <w:rPr>
                <w:rFonts w:hint="default" w:eastAsia="宋体" w:cs="宋体"/>
                <w:color w:val="auto"/>
                <w:sz w:val="21"/>
                <w:szCs w:val="21"/>
                <w:lang w:val="en-US" w:eastAsia="zh-CN"/>
              </w:rPr>
            </w:pPr>
            <w:r>
              <w:rPr>
                <w:rFonts w:hint="eastAsia" w:cs="宋体"/>
                <w:color w:val="auto"/>
                <w:sz w:val="21"/>
                <w:szCs w:val="21"/>
                <w:lang w:val="en-US" w:eastAsia="zh-CN"/>
              </w:rPr>
              <w:t>19</w:t>
            </w:r>
          </w:p>
        </w:tc>
        <w:tc>
          <w:tcPr>
            <w:tcW w:w="1662" w:type="dxa"/>
            <w:vAlign w:val="center"/>
          </w:tcPr>
          <w:p>
            <w:pPr>
              <w:pStyle w:val="114"/>
              <w:ind w:left="110" w:leftChars="0"/>
              <w:jc w:val="center"/>
              <w:rPr>
                <w:rFonts w:hint="eastAsia" w:cs="宋体"/>
                <w:color w:val="auto"/>
                <w:sz w:val="21"/>
                <w:szCs w:val="21"/>
                <w:lang w:val="zh-CN"/>
              </w:rPr>
            </w:pPr>
            <w:r>
              <w:rPr>
                <w:rFonts w:hint="eastAsia" w:cs="宋体"/>
                <w:color w:val="auto"/>
                <w:sz w:val="21"/>
                <w:szCs w:val="21"/>
                <w:lang w:val="zh-CN"/>
              </w:rPr>
              <w:t>文件解释权</w:t>
            </w:r>
          </w:p>
        </w:tc>
        <w:tc>
          <w:tcPr>
            <w:tcW w:w="6681" w:type="dxa"/>
            <w:vAlign w:val="center"/>
          </w:tcPr>
          <w:p>
            <w:pPr>
              <w:pStyle w:val="114"/>
              <w:ind w:left="110" w:leftChars="0"/>
              <w:rPr>
                <w:rFonts w:hint="eastAsia" w:cs="宋体"/>
                <w:color w:val="auto"/>
                <w:sz w:val="21"/>
                <w:szCs w:val="21"/>
                <w:lang w:val="zh-CN"/>
              </w:rPr>
            </w:pPr>
            <w:r>
              <w:rPr>
                <w:rFonts w:hint="eastAsia" w:cs="宋体"/>
                <w:color w:val="auto"/>
                <w:sz w:val="21"/>
                <w:szCs w:val="21"/>
                <w:lang w:val="zh-CN"/>
              </w:rPr>
              <w:t>本次采购非政府采购，比选文件解释权归比选人。</w:t>
            </w:r>
          </w:p>
        </w:tc>
      </w:tr>
    </w:tbl>
    <w:p>
      <w:pPr>
        <w:rPr>
          <w:rFonts w:hAnsi="宋体" w:cs="宋体"/>
          <w:color w:val="auto"/>
        </w:rPr>
      </w:pPr>
    </w:p>
    <w:p>
      <w:pPr>
        <w:pStyle w:val="17"/>
        <w:rPr>
          <w:rFonts w:hAnsi="宋体" w:cs="宋体"/>
          <w:color w:val="auto"/>
        </w:rPr>
      </w:pPr>
    </w:p>
    <w:p>
      <w:pPr>
        <w:pStyle w:val="56"/>
        <w:rPr>
          <w:color w:val="auto"/>
        </w:rPr>
      </w:pPr>
    </w:p>
    <w:p>
      <w:pPr>
        <w:rPr>
          <w:color w:val="auto"/>
        </w:rPr>
      </w:pPr>
    </w:p>
    <w:bookmarkEnd w:id="11"/>
    <w:bookmarkEnd w:id="12"/>
    <w:bookmarkEnd w:id="13"/>
    <w:bookmarkEnd w:id="14"/>
    <w:p>
      <w:pPr>
        <w:pStyle w:val="3"/>
        <w:spacing w:line="400" w:lineRule="exact"/>
        <w:ind w:left="581" w:leftChars="171" w:right="537" w:rightChars="158"/>
        <w:jc w:val="center"/>
        <w:rPr>
          <w:rFonts w:ascii="宋体" w:hAnsi="宋体" w:eastAsia="宋体" w:cs="宋体"/>
          <w:color w:val="auto"/>
        </w:rPr>
      </w:pPr>
      <w:bookmarkStart w:id="35" w:name="_Toc217446033"/>
      <w:bookmarkStart w:id="36" w:name="_Toc331850011"/>
      <w:bookmarkStart w:id="37" w:name="_Toc183582204"/>
      <w:bookmarkStart w:id="38" w:name="_Toc77400778"/>
      <w:bookmarkStart w:id="39" w:name="_Toc331160523"/>
      <w:bookmarkStart w:id="40" w:name="_Toc89075873"/>
      <w:bookmarkStart w:id="41" w:name="_Toc183682341"/>
      <w:r>
        <w:rPr>
          <w:rFonts w:hint="eastAsia" w:ascii="宋体" w:hAnsi="宋体" w:eastAsia="宋体" w:cs="宋体"/>
          <w:color w:val="auto"/>
        </w:rPr>
        <w:br w:type="page"/>
      </w:r>
      <w:r>
        <w:rPr>
          <w:rFonts w:hint="eastAsia" w:ascii="宋体" w:hAnsi="宋体" w:eastAsia="宋体" w:cs="宋体"/>
          <w:color w:val="auto"/>
        </w:rPr>
        <w:t>二、总  则</w:t>
      </w:r>
      <w:bookmarkEnd w:id="35"/>
      <w:bookmarkEnd w:id="36"/>
      <w:bookmarkEnd w:id="37"/>
      <w:bookmarkEnd w:id="38"/>
      <w:bookmarkEnd w:id="39"/>
      <w:bookmarkEnd w:id="40"/>
      <w:bookmarkEnd w:id="41"/>
    </w:p>
    <w:p>
      <w:pPr>
        <w:pStyle w:val="4"/>
        <w:spacing w:line="400" w:lineRule="exact"/>
        <w:ind w:right="537" w:rightChars="158" w:firstLine="472" w:firstLineChars="196"/>
        <w:rPr>
          <w:rFonts w:ascii="宋体" w:hAnsi="宋体" w:cs="宋体"/>
          <w:color w:val="auto"/>
          <w:sz w:val="24"/>
          <w:szCs w:val="24"/>
        </w:rPr>
      </w:pPr>
      <w:bookmarkStart w:id="42" w:name="_Toc183682342"/>
      <w:bookmarkStart w:id="43" w:name="_Toc183582205"/>
      <w:bookmarkStart w:id="44" w:name="_Toc297121581"/>
      <w:bookmarkStart w:id="45" w:name="_Toc286998635"/>
      <w:bookmarkStart w:id="46" w:name="_Toc293388640"/>
      <w:bookmarkStart w:id="47" w:name="_Toc217446034"/>
      <w:bookmarkStart w:id="48" w:name="_Toc308074308"/>
      <w:bookmarkStart w:id="49" w:name="_Toc304211675"/>
      <w:bookmarkStart w:id="50" w:name="_Toc331850012"/>
      <w:bookmarkStart w:id="51" w:name="_Toc304211833"/>
      <w:bookmarkStart w:id="52" w:name="_Toc304211515"/>
      <w:bookmarkStart w:id="53" w:name="_Toc331160524"/>
      <w:bookmarkStart w:id="54" w:name="_Toc309135262"/>
      <w:bookmarkStart w:id="55" w:name="_Toc296071293"/>
      <w:bookmarkStart w:id="56" w:name="_Toc309135174"/>
      <w:bookmarkStart w:id="57" w:name="_Toc304364901"/>
      <w:r>
        <w:rPr>
          <w:rFonts w:hint="eastAsia" w:ascii="宋体" w:hAnsi="宋体" w:cs="宋体"/>
          <w:color w:val="auto"/>
          <w:sz w:val="24"/>
          <w:szCs w:val="24"/>
        </w:rPr>
        <w:t>1.</w:t>
      </w:r>
      <w:bookmarkEnd w:id="42"/>
      <w:bookmarkEnd w:id="43"/>
      <w:r>
        <w:rPr>
          <w:rFonts w:hint="eastAsia" w:ascii="宋体" w:hAnsi="宋体" w:cs="宋体"/>
          <w:color w:val="auto"/>
          <w:sz w:val="24"/>
          <w:szCs w:val="24"/>
        </w:rPr>
        <w:t xml:space="preserve"> 适用范围</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1.1本比选文件仅适用于本次比选采购项目。</w:t>
      </w:r>
    </w:p>
    <w:p>
      <w:pPr>
        <w:pStyle w:val="4"/>
        <w:spacing w:line="400" w:lineRule="exact"/>
        <w:ind w:right="537" w:rightChars="158" w:firstLine="472" w:firstLineChars="196"/>
        <w:rPr>
          <w:rFonts w:ascii="宋体" w:hAnsi="宋体" w:cs="宋体"/>
          <w:color w:val="auto"/>
          <w:sz w:val="24"/>
          <w:szCs w:val="24"/>
        </w:rPr>
      </w:pPr>
      <w:bookmarkStart w:id="58" w:name="_Toc183582206"/>
      <w:bookmarkStart w:id="59" w:name="_Toc183682343"/>
      <w:bookmarkStart w:id="60" w:name="_Toc304211676"/>
      <w:bookmarkStart w:id="61" w:name="_Toc297121582"/>
      <w:bookmarkStart w:id="62" w:name="_Toc308074309"/>
      <w:bookmarkStart w:id="63" w:name="_Toc293388641"/>
      <w:bookmarkStart w:id="64" w:name="_Toc304211516"/>
      <w:bookmarkStart w:id="65" w:name="_Toc296071294"/>
      <w:bookmarkStart w:id="66" w:name="_Toc309135263"/>
      <w:bookmarkStart w:id="67" w:name="_Toc331850013"/>
      <w:bookmarkStart w:id="68" w:name="_Toc331160525"/>
      <w:bookmarkStart w:id="69" w:name="_Toc304364902"/>
      <w:bookmarkStart w:id="70" w:name="_Toc304211834"/>
      <w:bookmarkStart w:id="71" w:name="_Toc309135175"/>
      <w:bookmarkStart w:id="72" w:name="_Toc217446035"/>
      <w:bookmarkStart w:id="73" w:name="_Toc286998636"/>
      <w:r>
        <w:rPr>
          <w:rFonts w:hint="eastAsia" w:ascii="宋体" w:hAnsi="宋体" w:cs="宋体"/>
          <w:color w:val="auto"/>
          <w:sz w:val="24"/>
          <w:szCs w:val="24"/>
        </w:rPr>
        <w:t xml:space="preserve">2. </w:t>
      </w:r>
      <w:bookmarkEnd w:id="58"/>
      <w:bookmarkEnd w:id="59"/>
      <w:r>
        <w:rPr>
          <w:rFonts w:hint="eastAsia" w:ascii="宋体" w:hAnsi="宋体" w:cs="宋体"/>
          <w:color w:val="auto"/>
          <w:sz w:val="24"/>
          <w:szCs w:val="24"/>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5"/>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2.1 本次比选的比选人是：</w:t>
      </w:r>
      <w:r>
        <w:rPr>
          <w:rFonts w:hint="eastAsia" w:ascii="宋体" w:hAnsi="宋体" w:cs="宋体"/>
          <w:b/>
          <w:bCs/>
          <w:color w:val="auto"/>
          <w:sz w:val="24"/>
          <w:u w:val="single"/>
          <w:lang w:val="zh-CN"/>
        </w:rPr>
        <w:t>古蔺县中医医院</w:t>
      </w:r>
      <w:r>
        <w:rPr>
          <w:rFonts w:hint="eastAsia" w:ascii="宋体" w:hAnsi="宋体" w:cs="宋体"/>
          <w:color w:val="auto"/>
          <w:sz w:val="24"/>
          <w:lang w:val="zh-CN"/>
        </w:rPr>
        <w:t>。</w:t>
      </w:r>
    </w:p>
    <w:p>
      <w:pPr>
        <w:pStyle w:val="5"/>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2</w:t>
      </w:r>
      <w:r>
        <w:rPr>
          <w:rFonts w:hint="eastAsia" w:ascii="宋体" w:hAnsi="宋体" w:cs="宋体"/>
          <w:color w:val="auto"/>
          <w:sz w:val="24"/>
          <w:lang w:val="zh-CN"/>
        </w:rPr>
        <w:t xml:space="preserve"> “供应商”系指</w:t>
      </w:r>
      <w:r>
        <w:rPr>
          <w:rFonts w:hint="eastAsia" w:ascii="宋体" w:hAnsi="宋体" w:cs="宋体"/>
          <w:color w:val="auto"/>
          <w:sz w:val="24"/>
        </w:rPr>
        <w:t>领取</w:t>
      </w:r>
      <w:r>
        <w:rPr>
          <w:rFonts w:hint="eastAsia" w:ascii="宋体" w:hAnsi="宋体" w:cs="宋体"/>
          <w:color w:val="auto"/>
          <w:sz w:val="24"/>
          <w:lang w:val="zh-CN"/>
        </w:rPr>
        <w:t>了比选文件拟参加参选和向比选人提供货物及相应服务的供应商。</w:t>
      </w:r>
    </w:p>
    <w:p>
      <w:pPr>
        <w:pStyle w:val="4"/>
        <w:spacing w:line="400" w:lineRule="exact"/>
        <w:ind w:right="537" w:rightChars="158" w:firstLine="472" w:firstLineChars="196"/>
        <w:rPr>
          <w:rFonts w:ascii="宋体" w:hAnsi="宋体" w:cs="宋体"/>
          <w:color w:val="auto"/>
          <w:sz w:val="24"/>
          <w:szCs w:val="24"/>
        </w:rPr>
      </w:pPr>
      <w:bookmarkStart w:id="74" w:name="_Toc296071295"/>
      <w:bookmarkStart w:id="75" w:name="_Toc331850014"/>
      <w:bookmarkStart w:id="76" w:name="_Toc304211835"/>
      <w:bookmarkStart w:id="77" w:name="_Toc304211517"/>
      <w:bookmarkStart w:id="78" w:name="_Toc217446036"/>
      <w:bookmarkStart w:id="79" w:name="_Toc183682344"/>
      <w:bookmarkStart w:id="80" w:name="_Toc217390843"/>
      <w:bookmarkStart w:id="81" w:name="_Toc293388642"/>
      <w:bookmarkStart w:id="82" w:name="_Toc309135176"/>
      <w:bookmarkStart w:id="83" w:name="_Toc304211677"/>
      <w:bookmarkStart w:id="84" w:name="_Toc297121583"/>
      <w:bookmarkStart w:id="85" w:name="_Toc183582207"/>
      <w:bookmarkStart w:id="86" w:name="_Toc304364903"/>
      <w:bookmarkStart w:id="87" w:name="_Toc309135264"/>
      <w:bookmarkStart w:id="88" w:name="_Toc286998637"/>
      <w:bookmarkStart w:id="89" w:name="_Toc308074310"/>
      <w:bookmarkStart w:id="90" w:name="_Toc331160526"/>
      <w:r>
        <w:rPr>
          <w:rFonts w:hint="eastAsia" w:ascii="宋体" w:hAnsi="宋体" w:cs="宋体"/>
          <w:color w:val="auto"/>
          <w:sz w:val="24"/>
          <w:szCs w:val="24"/>
        </w:rPr>
        <w:t>3. 合格的</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宋体" w:hAnsi="宋体" w:cs="宋体"/>
          <w:color w:val="auto"/>
          <w:sz w:val="24"/>
          <w:szCs w:val="24"/>
        </w:rPr>
        <w:t>供应商</w:t>
      </w:r>
    </w:p>
    <w:p>
      <w:pPr>
        <w:pStyle w:val="5"/>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3.1合格的供应商应具备以下条件：</w:t>
      </w:r>
    </w:p>
    <w:p>
      <w:pPr>
        <w:pStyle w:val="5"/>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（1)具备“参选邀请”第六条的基本条件；</w:t>
      </w:r>
    </w:p>
    <w:p>
      <w:pPr>
        <w:pStyle w:val="5"/>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在比选人处成功报名并登记</w:t>
      </w:r>
      <w:r>
        <w:rPr>
          <w:rFonts w:hint="eastAsia" w:ascii="宋体" w:hAnsi="宋体" w:cs="宋体"/>
          <w:color w:val="auto"/>
          <w:sz w:val="24"/>
          <w:lang w:val="zh-CN"/>
        </w:rPr>
        <w:t>；</w:t>
      </w:r>
    </w:p>
    <w:p>
      <w:pPr>
        <w:pStyle w:val="5"/>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（3)遵守国家有关的法律、法规、规章和其他政策制度；</w:t>
      </w:r>
    </w:p>
    <w:p>
      <w:pPr>
        <w:pStyle w:val="4"/>
        <w:spacing w:line="400" w:lineRule="exact"/>
        <w:ind w:right="537" w:rightChars="158" w:firstLine="472" w:firstLineChars="196"/>
        <w:rPr>
          <w:rFonts w:ascii="宋体" w:hAnsi="宋体" w:cs="宋体"/>
          <w:color w:val="auto"/>
          <w:sz w:val="24"/>
          <w:szCs w:val="24"/>
        </w:rPr>
      </w:pPr>
      <w:bookmarkStart w:id="91" w:name="_Toc304211836"/>
      <w:bookmarkStart w:id="92" w:name="_Toc309135265"/>
      <w:bookmarkStart w:id="93" w:name="_Toc331850015"/>
      <w:bookmarkStart w:id="94" w:name="_Toc308074311"/>
      <w:bookmarkStart w:id="95" w:name="_Toc217446037"/>
      <w:bookmarkStart w:id="96" w:name="_Toc293388643"/>
      <w:bookmarkStart w:id="97" w:name="_Toc304364904"/>
      <w:bookmarkStart w:id="98" w:name="_Toc309135177"/>
      <w:bookmarkStart w:id="99" w:name="_Toc304211518"/>
      <w:bookmarkStart w:id="100" w:name="_Toc331160527"/>
      <w:bookmarkStart w:id="101" w:name="_Toc183682345"/>
      <w:bookmarkStart w:id="102" w:name="_Toc297121584"/>
      <w:bookmarkStart w:id="103" w:name="_Toc183582208"/>
      <w:bookmarkStart w:id="104" w:name="_Toc296071296"/>
      <w:bookmarkStart w:id="105" w:name="_Toc304211678"/>
      <w:bookmarkStart w:id="106" w:name="_Toc286998638"/>
      <w:r>
        <w:rPr>
          <w:rFonts w:hint="eastAsia" w:ascii="宋体" w:hAnsi="宋体" w:cs="宋体"/>
          <w:color w:val="auto"/>
          <w:sz w:val="24"/>
          <w:szCs w:val="24"/>
        </w:rPr>
        <w:t>4. 参选费用</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5"/>
        <w:spacing w:line="400" w:lineRule="exact"/>
        <w:ind w:right="680" w:rightChars="200" w:firstLine="480" w:firstLineChars="200"/>
        <w:rPr>
          <w:rFonts w:ascii="宋体" w:hAnsi="宋体" w:cs="宋体"/>
          <w:color w:val="auto"/>
          <w:sz w:val="24"/>
          <w:lang w:val="zh-CN"/>
        </w:rPr>
      </w:pPr>
      <w:r>
        <w:rPr>
          <w:rFonts w:hint="eastAsia" w:ascii="宋体" w:hAnsi="宋体" w:cs="宋体"/>
          <w:color w:val="auto"/>
          <w:sz w:val="24"/>
          <w:lang w:val="zh-CN"/>
        </w:rPr>
        <w:t>4.1供应商参加参选的有关费用由供应商自行承担。</w:t>
      </w:r>
    </w:p>
    <w:p>
      <w:pPr>
        <w:pStyle w:val="4"/>
        <w:spacing w:line="400" w:lineRule="exact"/>
        <w:ind w:right="537" w:rightChars="158" w:firstLine="472" w:firstLineChars="196"/>
        <w:rPr>
          <w:rFonts w:ascii="宋体" w:hAnsi="宋体" w:cs="宋体"/>
          <w:color w:val="auto"/>
          <w:sz w:val="24"/>
          <w:szCs w:val="24"/>
        </w:rPr>
      </w:pPr>
      <w:r>
        <w:rPr>
          <w:rFonts w:hint="eastAsia" w:ascii="宋体" w:hAnsi="宋体" w:cs="宋体"/>
          <w:color w:val="auto"/>
          <w:sz w:val="24"/>
          <w:szCs w:val="24"/>
        </w:rPr>
        <w:t>5. 供应商家数计算</w:t>
      </w:r>
    </w:p>
    <w:p>
      <w:pPr>
        <w:pStyle w:val="5"/>
        <w:adjustRightInd w:val="0"/>
        <w:snapToGrid w:val="0"/>
        <w:spacing w:line="360" w:lineRule="auto"/>
        <w:ind w:firstLine="480" w:firstLineChars="200"/>
        <w:rPr>
          <w:rFonts w:ascii="宋体" w:hAnsi="宋体" w:cs="宋体"/>
          <w:color w:val="auto"/>
          <w:sz w:val="24"/>
        </w:rPr>
      </w:pPr>
      <w:bookmarkStart w:id="107" w:name="_Toc89075875"/>
      <w:bookmarkStart w:id="108" w:name="_Toc331160529"/>
      <w:bookmarkStart w:id="109" w:name="_Toc183682346"/>
      <w:bookmarkStart w:id="110" w:name="_Toc217446038"/>
      <w:bookmarkStart w:id="111" w:name="_Toc183582209"/>
      <w:bookmarkStart w:id="112" w:name="_Toc77400779"/>
      <w:bookmarkStart w:id="113" w:name="_Toc331850017"/>
      <w:r>
        <w:rPr>
          <w:rFonts w:hint="eastAsia" w:ascii="宋体" w:hAnsi="宋体" w:cs="宋体"/>
          <w:color w:val="auto"/>
          <w:sz w:val="24"/>
        </w:rPr>
        <w:t>5.1总公司和分公司不能同时参加本项目参选。</w:t>
      </w:r>
    </w:p>
    <w:p>
      <w:pPr>
        <w:pStyle w:val="163"/>
        <w:spacing w:line="460" w:lineRule="exact"/>
        <w:ind w:left="1" w:firstLine="480" w:firstLineChars="200"/>
        <w:rPr>
          <w:rFonts w:hAnsi="宋体" w:cs="宋体"/>
          <w:color w:val="auto"/>
          <w:kern w:val="2"/>
          <w:sz w:val="24"/>
        </w:rPr>
      </w:pPr>
      <w:r>
        <w:rPr>
          <w:rFonts w:hint="eastAsia" w:hAnsi="宋体" w:cs="宋体"/>
          <w:color w:val="auto"/>
          <w:kern w:val="2"/>
          <w:sz w:val="24"/>
        </w:rPr>
        <w:t>5.2 利害关系供应商处理。单位负责人为同一人或者存在直接控股、管理关系的不同供应商不得参加同一合同项下的采购活动。</w:t>
      </w:r>
    </w:p>
    <w:p>
      <w:pPr>
        <w:pStyle w:val="163"/>
        <w:spacing w:line="460" w:lineRule="exact"/>
        <w:ind w:left="1" w:firstLine="480" w:firstLineChars="200"/>
        <w:rPr>
          <w:rFonts w:hAnsi="宋体" w:cs="宋体"/>
          <w:color w:val="auto"/>
        </w:rPr>
      </w:pPr>
      <w:r>
        <w:rPr>
          <w:rFonts w:hint="eastAsia" w:hAnsi="宋体" w:cs="宋体"/>
          <w:color w:val="auto"/>
          <w:kern w:val="2"/>
          <w:sz w:val="24"/>
        </w:rPr>
        <w:t>5.3 利害关系代理人处理。2家以上的供应商不得在同一合同项下的采购项目中，同时委托同一个自然人、同一家庭的人员、同一单位的人员作为其代理人，否则，其响应文件作为无效处理。</w:t>
      </w:r>
    </w:p>
    <w:bookmarkEnd w:id="107"/>
    <w:bookmarkEnd w:id="108"/>
    <w:bookmarkEnd w:id="109"/>
    <w:bookmarkEnd w:id="110"/>
    <w:bookmarkEnd w:id="111"/>
    <w:bookmarkEnd w:id="112"/>
    <w:bookmarkEnd w:id="113"/>
    <w:p>
      <w:pPr>
        <w:pStyle w:val="5"/>
        <w:spacing w:line="400" w:lineRule="exact"/>
        <w:ind w:firstLine="480" w:firstLineChars="200"/>
        <w:rPr>
          <w:rFonts w:ascii="宋体" w:hAnsi="宋体" w:cs="宋体"/>
          <w:color w:val="auto"/>
          <w:sz w:val="24"/>
          <w:szCs w:val="24"/>
        </w:rPr>
      </w:pPr>
      <w:bookmarkStart w:id="114" w:name="_Toc331160533"/>
      <w:bookmarkStart w:id="115" w:name="_Toc89075876"/>
      <w:bookmarkStart w:id="116" w:name="_Toc331850021"/>
      <w:bookmarkStart w:id="117" w:name="_Toc77400780"/>
      <w:bookmarkStart w:id="118" w:name="_Toc217446042"/>
      <w:bookmarkStart w:id="119" w:name="_Toc183682351"/>
      <w:bookmarkStart w:id="120" w:name="_Toc183582214"/>
    </w:p>
    <w:p>
      <w:pPr>
        <w:pStyle w:val="5"/>
        <w:spacing w:line="400" w:lineRule="exact"/>
        <w:ind w:firstLine="480" w:firstLineChars="200"/>
        <w:rPr>
          <w:rFonts w:ascii="宋体" w:hAnsi="宋体" w:cs="宋体"/>
          <w:color w:val="auto"/>
          <w:sz w:val="24"/>
          <w:szCs w:val="24"/>
        </w:rPr>
      </w:pPr>
    </w:p>
    <w:bookmarkEnd w:id="114"/>
    <w:bookmarkEnd w:id="115"/>
    <w:bookmarkEnd w:id="116"/>
    <w:bookmarkEnd w:id="117"/>
    <w:bookmarkEnd w:id="118"/>
    <w:bookmarkEnd w:id="119"/>
    <w:bookmarkEnd w:id="120"/>
    <w:p>
      <w:pPr>
        <w:pStyle w:val="4"/>
        <w:spacing w:line="400" w:lineRule="exact"/>
        <w:ind w:right="537" w:rightChars="158" w:firstLine="630" w:firstLineChars="196"/>
        <w:jc w:val="center"/>
        <w:rPr>
          <w:rFonts w:ascii="宋体" w:hAnsi="宋体" w:cs="宋体"/>
          <w:color w:val="auto"/>
          <w:sz w:val="24"/>
          <w:szCs w:val="24"/>
        </w:rPr>
      </w:pPr>
      <w:bookmarkStart w:id="121" w:name="_Toc217446081"/>
      <w:r>
        <w:rPr>
          <w:rFonts w:hint="eastAsia" w:ascii="宋体" w:hAnsi="宋体" w:cs="宋体"/>
          <w:color w:val="auto"/>
        </w:rPr>
        <w:br w:type="page"/>
      </w:r>
      <w:bookmarkStart w:id="122" w:name="_Toc331850052"/>
      <w:bookmarkStart w:id="123" w:name="_Toc15248"/>
      <w:bookmarkStart w:id="124" w:name="_Toc9263_WPSOffice_Level1"/>
      <w:r>
        <w:rPr>
          <w:rFonts w:hint="eastAsia" w:ascii="宋体" w:hAnsi="宋体" w:cs="宋体"/>
          <w:color w:val="auto"/>
          <w:sz w:val="36"/>
          <w:szCs w:val="22"/>
        </w:rPr>
        <w:t>第三章 参选文件格式</w:t>
      </w:r>
      <w:bookmarkEnd w:id="121"/>
      <w:bookmarkEnd w:id="122"/>
      <w:bookmarkEnd w:id="123"/>
      <w:bookmarkEnd w:id="124"/>
      <w:bookmarkStart w:id="125" w:name="_Toc217446082"/>
    </w:p>
    <w:p>
      <w:pPr>
        <w:spacing w:line="360" w:lineRule="auto"/>
        <w:rPr>
          <w:rFonts w:ascii="华文中宋" w:hAnsi="华文中宋" w:eastAsia="华文中宋"/>
          <w:b/>
          <w:color w:val="auto"/>
          <w:sz w:val="32"/>
          <w:szCs w:val="32"/>
        </w:rPr>
      </w:pPr>
      <w:bookmarkStart w:id="126" w:name="_Toc286998674"/>
      <w:bookmarkStart w:id="127" w:name="_Toc331160565"/>
      <w:bookmarkStart w:id="128" w:name="_Toc331850053"/>
      <w:r>
        <w:rPr>
          <w:rFonts w:hint="eastAsia" w:ascii="华文中宋" w:hAnsi="华文中宋" w:eastAsia="华文中宋"/>
          <w:b/>
          <w:color w:val="auto"/>
          <w:sz w:val="32"/>
          <w:szCs w:val="32"/>
        </w:rPr>
        <w:t>封面：</w:t>
      </w:r>
    </w:p>
    <w:p>
      <w:pPr>
        <w:spacing w:line="360" w:lineRule="auto"/>
        <w:jc w:val="right"/>
        <w:rPr>
          <w:rFonts w:ascii="华文中宋" w:hAnsi="华文中宋" w:eastAsia="华文中宋"/>
          <w:b/>
          <w:color w:val="auto"/>
          <w:sz w:val="36"/>
        </w:rPr>
      </w:pPr>
      <w:r>
        <w:rPr>
          <w:rFonts w:ascii="华文中宋" w:hAnsi="华文中宋" w:eastAsia="华文中宋"/>
          <w:b/>
          <w:color w:val="auto"/>
          <w:sz w:val="36"/>
        </w:rPr>
        <w:t>（正本）</w:t>
      </w:r>
    </w:p>
    <w:p>
      <w:pPr>
        <w:spacing w:line="480" w:lineRule="auto"/>
        <w:ind w:right="537" w:rightChars="158"/>
        <w:rPr>
          <w:b/>
          <w:color w:val="auto"/>
          <w:sz w:val="48"/>
          <w:szCs w:val="44"/>
        </w:rPr>
      </w:pPr>
      <w:r>
        <w:rPr>
          <w:rFonts w:hint="eastAsia" w:hAnsi="宋体" w:cs="宋体"/>
          <w:b/>
          <w:bCs/>
          <w:color w:val="auto"/>
          <w:sz w:val="28"/>
          <w:szCs w:val="28"/>
        </w:rPr>
        <w:t>项目编号：</w:t>
      </w:r>
    </w:p>
    <w:p>
      <w:pPr>
        <w:spacing w:line="480" w:lineRule="auto"/>
        <w:ind w:left="581" w:leftChars="171" w:right="537" w:rightChars="158"/>
        <w:jc w:val="center"/>
        <w:rPr>
          <w:b/>
          <w:color w:val="auto"/>
          <w:sz w:val="48"/>
          <w:szCs w:val="44"/>
        </w:rPr>
      </w:pPr>
    </w:p>
    <w:p>
      <w:pPr>
        <w:spacing w:line="360" w:lineRule="auto"/>
        <w:jc w:val="center"/>
        <w:rPr>
          <w:rFonts w:hint="default" w:ascii="华文中宋" w:hAnsi="华文中宋" w:eastAsia="华文中宋"/>
          <w:b/>
          <w:color w:val="auto"/>
          <w:sz w:val="52"/>
          <w:szCs w:val="52"/>
          <w:lang w:val="en-US"/>
        </w:rPr>
      </w:pPr>
      <w:r>
        <w:rPr>
          <w:rFonts w:hint="default" w:ascii="华文中宋" w:hAnsi="华文中宋" w:eastAsia="华文中宋"/>
          <w:b/>
          <w:color w:val="auto"/>
          <w:sz w:val="52"/>
          <w:szCs w:val="52"/>
          <w:lang w:val="en-US"/>
        </w:rPr>
        <w:t>古蔺县中医医院检验试剂配送服务比选采购项目</w:t>
      </w:r>
    </w:p>
    <w:p>
      <w:pPr>
        <w:pStyle w:val="17"/>
        <w:rPr>
          <w:rFonts w:ascii="华文中宋" w:hAnsi="华文中宋" w:eastAsia="华文中宋"/>
          <w:b/>
          <w:color w:val="auto"/>
          <w:sz w:val="52"/>
          <w:szCs w:val="52"/>
        </w:rPr>
      </w:pPr>
    </w:p>
    <w:p>
      <w:pPr>
        <w:pStyle w:val="56"/>
        <w:rPr>
          <w:color w:val="auto"/>
        </w:rPr>
      </w:pPr>
    </w:p>
    <w:p>
      <w:pPr>
        <w:spacing w:line="360" w:lineRule="auto"/>
        <w:ind w:firstLine="2603" w:firstLineChars="500"/>
        <w:jc w:val="left"/>
        <w:rPr>
          <w:rFonts w:ascii="华文中宋" w:hAnsi="华文中宋" w:eastAsia="华文中宋"/>
          <w:b/>
          <w:color w:val="auto"/>
          <w:sz w:val="32"/>
          <w:szCs w:val="32"/>
        </w:rPr>
      </w:pPr>
      <w:r>
        <w:rPr>
          <w:rFonts w:hint="eastAsia" w:ascii="华文中宋" w:hAnsi="华文中宋" w:eastAsia="华文中宋"/>
          <w:b/>
          <w:color w:val="auto"/>
          <w:sz w:val="52"/>
          <w:szCs w:val="52"/>
        </w:rPr>
        <w:t>比选响应性文件</w:t>
      </w:r>
    </w:p>
    <w:p>
      <w:pPr>
        <w:pStyle w:val="55"/>
        <w:ind w:left="0"/>
        <w:jc w:val="both"/>
        <w:rPr>
          <w:color w:val="auto"/>
        </w:rPr>
      </w:pPr>
    </w:p>
    <w:p>
      <w:pPr>
        <w:rPr>
          <w:color w:val="auto"/>
        </w:rPr>
      </w:pPr>
    </w:p>
    <w:p>
      <w:pPr>
        <w:pStyle w:val="55"/>
        <w:ind w:left="0"/>
        <w:jc w:val="both"/>
        <w:rPr>
          <w:color w:val="auto"/>
        </w:rPr>
      </w:pPr>
    </w:p>
    <w:p>
      <w:pPr>
        <w:spacing w:line="360" w:lineRule="auto"/>
        <w:jc w:val="left"/>
        <w:rPr>
          <w:rFonts w:ascii="华文中宋" w:hAnsi="华文中宋" w:eastAsia="华文中宋"/>
          <w:b/>
          <w:color w:val="auto"/>
          <w:sz w:val="32"/>
          <w:u w:val="single"/>
        </w:rPr>
      </w:pPr>
      <w:r>
        <w:rPr>
          <w:rFonts w:hint="eastAsia" w:ascii="华文中宋" w:hAnsi="华文中宋" w:eastAsia="华文中宋"/>
          <w:b/>
          <w:color w:val="auto"/>
          <w:sz w:val="32"/>
        </w:rPr>
        <w:t>供应商（参选人）</w:t>
      </w:r>
      <w:r>
        <w:rPr>
          <w:rFonts w:ascii="华文中宋" w:hAnsi="华文中宋" w:eastAsia="华文中宋"/>
          <w:b/>
          <w:color w:val="auto"/>
          <w:sz w:val="32"/>
        </w:rPr>
        <w:t>名称：</w:t>
      </w:r>
    </w:p>
    <w:p>
      <w:pPr>
        <w:spacing w:line="360" w:lineRule="auto"/>
        <w:jc w:val="left"/>
        <w:rPr>
          <w:rFonts w:ascii="华文中宋" w:hAnsi="华文中宋" w:eastAsia="华文中宋"/>
          <w:b/>
          <w:color w:val="auto"/>
          <w:sz w:val="32"/>
        </w:rPr>
        <w:sectPr>
          <w:footerReference r:id="rId10" w:type="first"/>
          <w:headerReference r:id="rId8" w:type="default"/>
          <w:footerReference r:id="rId9" w:type="default"/>
          <w:pgSz w:w="11906" w:h="16838"/>
          <w:pgMar w:top="1400" w:right="1195" w:bottom="1089" w:left="1871" w:header="851" w:footer="595" w:gutter="0"/>
          <w:pgNumType w:start="1"/>
          <w:cols w:space="720" w:num="1"/>
          <w:docGrid w:type="lines" w:linePitch="462" w:charSpace="0"/>
        </w:sectPr>
      </w:pPr>
      <w:r>
        <w:rPr>
          <w:rFonts w:hint="eastAsia" w:ascii="华文中宋" w:hAnsi="华文中宋" w:eastAsia="华文中宋"/>
          <w:b/>
          <w:color w:val="auto"/>
          <w:sz w:val="32"/>
        </w:rPr>
        <w:t>比选时间</w:t>
      </w:r>
      <w:r>
        <w:rPr>
          <w:rFonts w:ascii="华文中宋" w:hAnsi="华文中宋" w:eastAsia="华文中宋"/>
          <w:b/>
          <w:color w:val="auto"/>
          <w:sz w:val="32"/>
        </w:rPr>
        <w:t>：</w:t>
      </w:r>
      <w:r>
        <w:rPr>
          <w:rFonts w:hint="eastAsia" w:ascii="华文中宋" w:hAnsi="华文中宋" w:eastAsia="华文中宋"/>
          <w:b/>
          <w:color w:val="auto"/>
          <w:sz w:val="32"/>
        </w:rPr>
        <w:t xml:space="preserve">    年 </w:t>
      </w:r>
      <w:r>
        <w:rPr>
          <w:rFonts w:ascii="华文中宋" w:hAnsi="华文中宋" w:eastAsia="华文中宋"/>
          <w:b/>
          <w:color w:val="auto"/>
          <w:sz w:val="32"/>
        </w:rPr>
        <w:t>月</w:t>
      </w:r>
      <w:r>
        <w:rPr>
          <w:rFonts w:hint="eastAsia" w:ascii="华文中宋" w:hAnsi="华文中宋" w:eastAsia="华文中宋"/>
          <w:b/>
          <w:color w:val="auto"/>
          <w:sz w:val="32"/>
        </w:rPr>
        <w:t xml:space="preserve"> </w:t>
      </w:r>
      <w:r>
        <w:rPr>
          <w:rFonts w:ascii="华文中宋" w:hAnsi="华文中宋" w:eastAsia="华文中宋"/>
          <w:b/>
          <w:color w:val="auto"/>
          <w:sz w:val="32"/>
        </w:rPr>
        <w:t>日</w:t>
      </w:r>
      <w:bookmarkEnd w:id="125"/>
      <w:bookmarkEnd w:id="126"/>
      <w:bookmarkEnd w:id="127"/>
      <w:bookmarkEnd w:id="128"/>
      <w:bookmarkStart w:id="129" w:name="_Toc217446085"/>
    </w:p>
    <w:p>
      <w:pPr>
        <w:pStyle w:val="3"/>
        <w:spacing w:line="400" w:lineRule="exact"/>
        <w:ind w:right="537" w:rightChars="158"/>
        <w:jc w:val="center"/>
        <w:rPr>
          <w:rFonts w:hAnsi="宋体"/>
          <w:bCs/>
          <w:color w:val="auto"/>
          <w:sz w:val="24"/>
        </w:rPr>
      </w:pPr>
      <w:bookmarkStart w:id="130" w:name="_Toc331850056"/>
      <w:bookmarkStart w:id="131" w:name="_Toc331160568"/>
      <w:r>
        <w:rPr>
          <w:rFonts w:hint="eastAsia" w:ascii="宋体" w:hAnsi="宋体" w:eastAsia="宋体" w:cs="宋体"/>
          <w:bCs/>
          <w:color w:val="auto"/>
          <w:szCs w:val="28"/>
        </w:rPr>
        <w:t>一</w:t>
      </w:r>
      <w:r>
        <w:rPr>
          <w:rFonts w:hint="eastAsia" w:ascii="宋体" w:hAnsi="宋体" w:eastAsia="宋体" w:cs="宋体"/>
          <w:bCs/>
          <w:color w:val="auto"/>
          <w:szCs w:val="28"/>
          <w:lang w:val="en-US" w:eastAsia="zh-CN"/>
        </w:rPr>
        <w:t xml:space="preserve"> -1</w:t>
      </w:r>
      <w:bookmarkEnd w:id="130"/>
      <w:bookmarkEnd w:id="131"/>
      <w:r>
        <w:rPr>
          <w:rFonts w:hint="eastAsia" w:ascii="宋体" w:hAnsi="宋体" w:eastAsia="宋体" w:cs="宋体"/>
          <w:bCs/>
          <w:color w:val="auto"/>
          <w:szCs w:val="28"/>
          <w:lang w:val="en-US" w:eastAsia="zh-CN"/>
        </w:rPr>
        <w:t>、</w:t>
      </w:r>
      <w:r>
        <w:rPr>
          <w:rFonts w:hint="eastAsia" w:ascii="宋体" w:hAnsi="宋体" w:eastAsia="宋体" w:cs="宋体"/>
          <w:bCs/>
          <w:color w:val="auto"/>
          <w:szCs w:val="28"/>
          <w:u w:val="single"/>
          <w:lang w:val="en-US" w:eastAsia="zh-CN"/>
        </w:rPr>
        <w:t>XX包</w:t>
      </w:r>
      <w:r>
        <w:rPr>
          <w:rFonts w:hint="eastAsia" w:ascii="宋体" w:hAnsi="宋体" w:eastAsia="宋体" w:cs="宋体"/>
          <w:bCs/>
          <w:color w:val="auto"/>
          <w:szCs w:val="28"/>
        </w:rPr>
        <w:t>报价一览表（实质性要求）</w:t>
      </w:r>
    </w:p>
    <w:p>
      <w:pPr>
        <w:rPr>
          <w:color w:val="auto"/>
        </w:rPr>
      </w:pPr>
      <w:r>
        <w:rPr>
          <w:rFonts w:hint="eastAsia" w:hAnsi="宋体"/>
          <w:b/>
          <w:bCs/>
          <w:color w:val="auto"/>
          <w:sz w:val="24"/>
        </w:rPr>
        <w:t>项目编号：</w:t>
      </w:r>
      <w:r>
        <w:rPr>
          <w:rFonts w:hint="eastAsia" w:hAnsi="宋体"/>
          <w:color w:val="auto"/>
          <w:szCs w:val="21"/>
        </w:rPr>
        <w:t xml:space="preserve"> </w:t>
      </w:r>
    </w:p>
    <w:bookmarkEnd w:id="129"/>
    <w:tbl>
      <w:tblPr>
        <w:tblStyle w:val="37"/>
        <w:tblW w:w="143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686"/>
        <w:gridCol w:w="635"/>
        <w:gridCol w:w="865"/>
        <w:gridCol w:w="2954"/>
        <w:gridCol w:w="2666"/>
        <w:gridCol w:w="969"/>
        <w:gridCol w:w="865"/>
        <w:gridCol w:w="1327"/>
        <w:gridCol w:w="1177"/>
        <w:gridCol w:w="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627" w:type="dxa"/>
            <w:noWrap w:val="0"/>
            <w:vAlign w:val="center"/>
          </w:tcPr>
          <w:p>
            <w:pPr>
              <w:widowControl/>
              <w:shd w:val="clear"/>
              <w:spacing w:after="0"/>
              <w:jc w:val="center"/>
              <w:rPr>
                <w:rFonts w:hint="eastAsia" w:ascii="宋体" w:hAnsi="宋体" w:eastAsia="宋体" w:cs="宋体"/>
                <w:b/>
                <w:color w:val="auto"/>
                <w:kern w:val="0"/>
                <w:sz w:val="18"/>
                <w:szCs w:val="18"/>
                <w:highlight w:val="none"/>
              </w:rPr>
            </w:pPr>
            <w:bookmarkStart w:id="132" w:name="_Toc307565036"/>
            <w:bookmarkStart w:id="133" w:name="_Toc307501133"/>
            <w:bookmarkStart w:id="134" w:name="_Toc217446089"/>
            <w:bookmarkStart w:id="135" w:name="_Toc307501132"/>
            <w:bookmarkStart w:id="136" w:name="_Toc217446090"/>
            <w:bookmarkStart w:id="137" w:name="_Toc331160572"/>
            <w:bookmarkStart w:id="138" w:name="_Toc307564878"/>
            <w:bookmarkStart w:id="139" w:name="_Toc331850060"/>
            <w:bookmarkStart w:id="140" w:name="_Toc217446093"/>
            <w:r>
              <w:rPr>
                <w:rFonts w:hint="eastAsia" w:ascii="宋体" w:hAnsi="宋体" w:eastAsia="宋体" w:cs="宋体"/>
                <w:b/>
                <w:color w:val="auto"/>
                <w:kern w:val="0"/>
                <w:sz w:val="18"/>
                <w:szCs w:val="18"/>
                <w:highlight w:val="none"/>
                <w:lang w:val="en-US" w:eastAsia="zh-CN"/>
              </w:rPr>
              <w:t>包</w:t>
            </w:r>
            <w:r>
              <w:rPr>
                <w:rFonts w:hint="eastAsia" w:ascii="宋体" w:hAnsi="宋体" w:eastAsia="宋体" w:cs="宋体"/>
                <w:b/>
                <w:color w:val="auto"/>
                <w:kern w:val="0"/>
                <w:sz w:val="18"/>
                <w:szCs w:val="18"/>
                <w:highlight w:val="none"/>
              </w:rPr>
              <w:t>号</w:t>
            </w:r>
          </w:p>
        </w:tc>
        <w:tc>
          <w:tcPr>
            <w:tcW w:w="1686" w:type="dxa"/>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标的名称</w:t>
            </w:r>
          </w:p>
        </w:tc>
        <w:tc>
          <w:tcPr>
            <w:tcW w:w="635" w:type="dxa"/>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制造厂家</w:t>
            </w:r>
          </w:p>
        </w:tc>
        <w:tc>
          <w:tcPr>
            <w:tcW w:w="865" w:type="dxa"/>
            <w:noWrap w:val="0"/>
            <w:vAlign w:val="center"/>
          </w:tcPr>
          <w:p>
            <w:pPr>
              <w:widowControl/>
              <w:shd w:val="clear"/>
              <w:spacing w:after="0"/>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rPr>
              <w:t>品牌/规格型号</w:t>
            </w:r>
          </w:p>
        </w:tc>
        <w:tc>
          <w:tcPr>
            <w:tcW w:w="2954" w:type="dxa"/>
            <w:tcBorders>
              <w:right w:val="single" w:color="auto" w:sz="4" w:space="0"/>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hAnsi="宋体" w:cs="宋体"/>
                <w:b/>
                <w:color w:val="auto"/>
                <w:kern w:val="0"/>
                <w:sz w:val="18"/>
                <w:szCs w:val="18"/>
                <w:highlight w:val="none"/>
                <w:lang w:val="en-US" w:eastAsia="zh-CN"/>
              </w:rPr>
              <w:t>投标下浮率（%）</w:t>
            </w:r>
          </w:p>
        </w:tc>
        <w:tc>
          <w:tcPr>
            <w:tcW w:w="2666" w:type="dxa"/>
            <w:tcBorders>
              <w:left w:val="single" w:color="auto" w:sz="4" w:space="0"/>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hAnsi="宋体" w:cs="宋体"/>
                <w:b/>
                <w:color w:val="auto"/>
                <w:kern w:val="0"/>
                <w:sz w:val="18"/>
                <w:szCs w:val="18"/>
                <w:highlight w:val="none"/>
                <w:lang w:val="en-US" w:eastAsia="zh-CN"/>
              </w:rPr>
              <w:t>是否属于“四川省医疗保障信息大数据一体化平台药品和医用耗材招采管理子系统”挂网产品</w:t>
            </w:r>
          </w:p>
        </w:tc>
        <w:tc>
          <w:tcPr>
            <w:tcW w:w="969" w:type="dxa"/>
            <w:noWrap w:val="0"/>
            <w:vAlign w:val="center"/>
          </w:tcPr>
          <w:p>
            <w:pPr>
              <w:widowControl/>
              <w:shd w:val="clear"/>
              <w:spacing w:after="0"/>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eastAsia="zh-CN"/>
              </w:rPr>
              <w:t>是否为进口产品</w:t>
            </w:r>
          </w:p>
        </w:tc>
        <w:tc>
          <w:tcPr>
            <w:tcW w:w="865" w:type="dxa"/>
            <w:noWrap w:val="0"/>
            <w:vAlign w:val="center"/>
          </w:tcPr>
          <w:p>
            <w:pPr>
              <w:widowControl/>
              <w:shd w:val="clear"/>
              <w:spacing w:after="0"/>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国家医保编码</w:t>
            </w:r>
          </w:p>
        </w:tc>
        <w:tc>
          <w:tcPr>
            <w:tcW w:w="1327" w:type="dxa"/>
            <w:noWrap w:val="0"/>
            <w:vAlign w:val="center"/>
          </w:tcPr>
          <w:p>
            <w:pPr>
              <w:widowControl/>
              <w:shd w:val="clear"/>
              <w:spacing w:after="0"/>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商品编号（产品流水号）</w:t>
            </w:r>
          </w:p>
        </w:tc>
        <w:tc>
          <w:tcPr>
            <w:tcW w:w="1177" w:type="dxa"/>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注册证号或备案证号</w:t>
            </w:r>
          </w:p>
        </w:tc>
        <w:tc>
          <w:tcPr>
            <w:tcW w:w="589" w:type="dxa"/>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627" w:type="dxa"/>
            <w:vMerge w:val="restart"/>
            <w:noWrap w:val="0"/>
            <w:vAlign w:val="center"/>
          </w:tcPr>
          <w:p>
            <w:pPr>
              <w:keepNext w:val="0"/>
              <w:keepLines w:val="0"/>
              <w:widowControl/>
              <w:suppressLineNumbers w:val="0"/>
              <w:shd w:val="clear"/>
              <w:jc w:val="center"/>
              <w:textAlignment w:val="center"/>
              <w:rPr>
                <w:rFonts w:hint="default" w:ascii="宋体" w:hAnsi="宋体" w:eastAsia="宋体" w:cs="宋体"/>
                <w:b/>
                <w:color w:val="auto"/>
                <w:kern w:val="0"/>
                <w:sz w:val="18"/>
                <w:szCs w:val="18"/>
                <w:highlight w:val="none"/>
                <w:lang w:val="en-US" w:eastAsia="zh-CN"/>
              </w:rPr>
            </w:pPr>
          </w:p>
        </w:tc>
        <w:tc>
          <w:tcPr>
            <w:tcW w:w="1686" w:type="dxa"/>
            <w:vMerge w:val="restart"/>
            <w:noWrap w:val="0"/>
            <w:vAlign w:val="center"/>
          </w:tcPr>
          <w:p>
            <w:pPr>
              <w:keepNext w:val="0"/>
              <w:keepLines w:val="0"/>
              <w:widowControl/>
              <w:suppressLineNumbers w:val="0"/>
              <w:shd w:val="clear"/>
              <w:jc w:val="center"/>
              <w:textAlignment w:val="center"/>
              <w:rPr>
                <w:rFonts w:hint="eastAsia" w:ascii="宋体" w:hAnsi="宋体" w:eastAsia="宋体" w:cs="宋体"/>
                <w:b/>
                <w:color w:val="auto"/>
                <w:kern w:val="0"/>
                <w:sz w:val="18"/>
                <w:szCs w:val="18"/>
                <w:highlight w:val="none"/>
                <w:lang w:val="en-US"/>
              </w:rPr>
            </w:pPr>
          </w:p>
        </w:tc>
        <w:tc>
          <w:tcPr>
            <w:tcW w:w="1500" w:type="dxa"/>
            <w:gridSpan w:val="2"/>
            <w:vMerge w:val="restart"/>
            <w:noWrap w:val="0"/>
            <w:vAlign w:val="center"/>
          </w:tcPr>
          <w:p>
            <w:pPr>
              <w:pStyle w:val="17"/>
              <w:shd w:val="clea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详见分项报价表</w:t>
            </w:r>
          </w:p>
        </w:tc>
        <w:tc>
          <w:tcPr>
            <w:tcW w:w="2954" w:type="dxa"/>
            <w:tcBorders>
              <w:right w:val="single" w:color="auto" w:sz="4" w:space="0"/>
            </w:tcBorders>
            <w:noWrap w:val="0"/>
            <w:vAlign w:val="center"/>
          </w:tcPr>
          <w:p>
            <w:pPr>
              <w:widowControl/>
              <w:shd w:val="clear"/>
              <w:jc w:val="left"/>
              <w:textAlignment w:val="center"/>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报价（1）“按当月挂网价执行”的产品：</w:t>
            </w:r>
            <w:r>
              <w:rPr>
                <w:rFonts w:hint="default" w:hAnsi="宋体" w:cs="宋体"/>
                <w:color w:val="auto"/>
                <w:sz w:val="18"/>
                <w:szCs w:val="18"/>
                <w:highlight w:val="none"/>
                <w:u w:val="single"/>
                <w:lang w:val="en-US" w:eastAsia="zh-CN" w:bidi="ar-SA"/>
              </w:rPr>
              <w:t xml:space="preserve">     </w:t>
            </w:r>
            <w:r>
              <w:rPr>
                <w:rFonts w:hint="default" w:hAnsi="宋体" w:cs="宋体"/>
                <w:color w:val="auto"/>
                <w:sz w:val="18"/>
                <w:szCs w:val="18"/>
                <w:highlight w:val="none"/>
                <w:lang w:val="en-US" w:eastAsia="zh-CN" w:bidi="ar-SA"/>
              </w:rPr>
              <w:t>%</w:t>
            </w:r>
          </w:p>
        </w:tc>
        <w:tc>
          <w:tcPr>
            <w:tcW w:w="7004" w:type="dxa"/>
            <w:gridSpan w:val="5"/>
            <w:vMerge w:val="restart"/>
            <w:tcBorders>
              <w:left w:val="single" w:color="auto" w:sz="4" w:space="0"/>
            </w:tcBorders>
            <w:noWrap w:val="0"/>
            <w:vAlign w:val="center"/>
          </w:tcPr>
          <w:p>
            <w:pPr>
              <w:pStyle w:val="17"/>
              <w:shd w:val="clea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详见分项报价表</w:t>
            </w:r>
          </w:p>
        </w:tc>
        <w:tc>
          <w:tcPr>
            <w:tcW w:w="589" w:type="dxa"/>
            <w:vMerge w:val="restart"/>
            <w:noWrap w:val="0"/>
            <w:vAlign w:val="center"/>
          </w:tcPr>
          <w:p>
            <w:pPr>
              <w:pStyle w:val="17"/>
              <w:shd w:val="clear"/>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627" w:type="dxa"/>
            <w:vMerge w:val="continue"/>
            <w:noWrap w:val="0"/>
            <w:vAlign w:val="center"/>
          </w:tcPr>
          <w:p>
            <w:pPr>
              <w:keepNext w:val="0"/>
              <w:keepLines w:val="0"/>
              <w:widowControl/>
              <w:suppressLineNumbers w:val="0"/>
              <w:shd w:val="clear"/>
              <w:jc w:val="center"/>
              <w:textAlignment w:val="center"/>
              <w:rPr>
                <w:rFonts w:hint="default" w:ascii="宋体" w:hAnsi="宋体" w:eastAsia="宋体" w:cs="宋体"/>
                <w:b/>
                <w:color w:val="auto"/>
                <w:kern w:val="0"/>
                <w:sz w:val="18"/>
                <w:szCs w:val="18"/>
                <w:highlight w:val="none"/>
                <w:lang w:val="en-US" w:eastAsia="zh-CN"/>
              </w:rPr>
            </w:pPr>
          </w:p>
        </w:tc>
        <w:tc>
          <w:tcPr>
            <w:tcW w:w="1686" w:type="dxa"/>
            <w:vMerge w:val="continue"/>
            <w:noWrap w:val="0"/>
            <w:vAlign w:val="center"/>
          </w:tcPr>
          <w:p>
            <w:pPr>
              <w:keepNext w:val="0"/>
              <w:keepLines w:val="0"/>
              <w:widowControl/>
              <w:suppressLineNumbers w:val="0"/>
              <w:shd w:val="clear"/>
              <w:jc w:val="center"/>
              <w:textAlignment w:val="center"/>
              <w:rPr>
                <w:rFonts w:hint="eastAsia" w:ascii="宋体" w:hAnsi="宋体" w:eastAsia="宋体" w:cs="宋体"/>
                <w:b/>
                <w:color w:val="auto"/>
                <w:kern w:val="0"/>
                <w:sz w:val="18"/>
                <w:szCs w:val="18"/>
                <w:highlight w:val="none"/>
                <w:lang w:val="en-US"/>
              </w:rPr>
            </w:pPr>
          </w:p>
        </w:tc>
        <w:tc>
          <w:tcPr>
            <w:tcW w:w="1500" w:type="dxa"/>
            <w:gridSpan w:val="2"/>
            <w:vMerge w:val="continue"/>
            <w:noWrap w:val="0"/>
            <w:vAlign w:val="center"/>
          </w:tcPr>
          <w:p>
            <w:pPr>
              <w:pStyle w:val="17"/>
              <w:shd w:val="clear"/>
              <w:jc w:val="center"/>
              <w:rPr>
                <w:rFonts w:hint="eastAsia" w:ascii="宋体" w:hAnsi="宋体" w:eastAsia="宋体" w:cs="宋体"/>
                <w:color w:val="auto"/>
                <w:sz w:val="18"/>
                <w:szCs w:val="18"/>
                <w:highlight w:val="none"/>
                <w:lang w:val="en-US" w:eastAsia="zh-CN"/>
              </w:rPr>
            </w:pPr>
          </w:p>
        </w:tc>
        <w:tc>
          <w:tcPr>
            <w:tcW w:w="2954" w:type="dxa"/>
            <w:tcBorders>
              <w:right w:val="single" w:color="auto" w:sz="4" w:space="0"/>
            </w:tcBorders>
            <w:noWrap w:val="0"/>
            <w:vAlign w:val="center"/>
          </w:tcPr>
          <w:p>
            <w:pPr>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报价（2）“明确了最高限价”的产品：</w:t>
            </w:r>
            <w:r>
              <w:rPr>
                <w:rFonts w:hint="default" w:hAnsi="宋体" w:cs="宋体"/>
                <w:color w:val="auto"/>
                <w:sz w:val="18"/>
                <w:szCs w:val="18"/>
                <w:highlight w:val="none"/>
                <w:u w:val="single"/>
                <w:lang w:val="en-US" w:eastAsia="zh-CN" w:bidi="ar-SA"/>
              </w:rPr>
              <w:t xml:space="preserve">     </w:t>
            </w:r>
            <w:r>
              <w:rPr>
                <w:rFonts w:hint="default" w:hAnsi="宋体" w:cs="宋体"/>
                <w:color w:val="auto"/>
                <w:sz w:val="18"/>
                <w:szCs w:val="18"/>
                <w:highlight w:val="none"/>
                <w:lang w:val="en-US" w:eastAsia="zh-CN" w:bidi="ar-SA"/>
              </w:rPr>
              <w:t>%</w:t>
            </w:r>
          </w:p>
        </w:tc>
        <w:tc>
          <w:tcPr>
            <w:tcW w:w="7004" w:type="dxa"/>
            <w:gridSpan w:val="5"/>
            <w:vMerge w:val="continue"/>
            <w:tcBorders>
              <w:left w:val="single" w:color="auto" w:sz="4" w:space="0"/>
            </w:tcBorders>
            <w:noWrap w:val="0"/>
            <w:vAlign w:val="center"/>
          </w:tcPr>
          <w:p>
            <w:pPr>
              <w:pStyle w:val="17"/>
              <w:shd w:val="clear"/>
              <w:jc w:val="center"/>
              <w:rPr>
                <w:rFonts w:hint="eastAsia" w:ascii="宋体" w:hAnsi="宋体" w:eastAsia="宋体" w:cs="宋体"/>
                <w:color w:val="auto"/>
                <w:sz w:val="18"/>
                <w:szCs w:val="18"/>
                <w:highlight w:val="none"/>
                <w:lang w:val="en-US" w:eastAsia="zh-CN"/>
              </w:rPr>
            </w:pPr>
          </w:p>
        </w:tc>
        <w:tc>
          <w:tcPr>
            <w:tcW w:w="589" w:type="dxa"/>
            <w:vMerge w:val="continue"/>
            <w:noWrap w:val="0"/>
            <w:vAlign w:val="center"/>
          </w:tcPr>
          <w:p>
            <w:pPr>
              <w:pStyle w:val="17"/>
              <w:shd w:val="clear"/>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14360" w:type="dxa"/>
            <w:gridSpan w:val="11"/>
            <w:noWrap w:val="0"/>
            <w:vAlign w:val="center"/>
          </w:tcPr>
          <w:p>
            <w:pPr>
              <w:widowControl/>
              <w:shd w:val="clear"/>
              <w:spacing w:after="0" w:line="360" w:lineRule="atLeast"/>
              <w:outlineLvl w:val="1"/>
              <w:rPr>
                <w:rFonts w:hint="eastAsia" w:ascii="宋体" w:hAnsi="宋体" w:eastAsia="宋体" w:cs="宋体"/>
                <w:b/>
                <w:bCs/>
                <w:color w:val="auto"/>
                <w:sz w:val="18"/>
                <w:szCs w:val="18"/>
                <w:highlight w:val="none"/>
              </w:rPr>
            </w:pPr>
            <w:r>
              <w:rPr>
                <w:rFonts w:hint="eastAsia" w:hAnsi="宋体" w:cs="宋体"/>
                <w:b/>
                <w:color w:val="auto"/>
                <w:kern w:val="0"/>
                <w:sz w:val="18"/>
                <w:szCs w:val="18"/>
                <w:highlight w:val="none"/>
                <w:lang w:val="en-US" w:eastAsia="zh-CN"/>
              </w:rPr>
              <w:t>投标下浮率（%）</w:t>
            </w:r>
            <w:r>
              <w:rPr>
                <w:rFonts w:hint="eastAsia" w:ascii="宋体" w:hAnsi="宋体" w:eastAsia="宋体" w:cs="宋体"/>
                <w:b/>
                <w:bCs/>
                <w:color w:val="auto"/>
                <w:sz w:val="18"/>
                <w:szCs w:val="18"/>
                <w:highlight w:val="none"/>
              </w:rPr>
              <w:t>：小写：</w:t>
            </w:r>
            <w:r>
              <w:rPr>
                <w:rFonts w:hint="eastAsia" w:ascii="宋体" w:hAnsi="宋体" w:eastAsia="宋体" w:cs="宋体"/>
                <w:b/>
                <w:bCs/>
                <w:color w:val="auto"/>
                <w:sz w:val="18"/>
                <w:szCs w:val="18"/>
                <w:highlight w:val="none"/>
                <w:u w:val="single"/>
              </w:rPr>
              <w:t xml:space="preserve">        </w:t>
            </w:r>
            <w:r>
              <w:rPr>
                <w:rFonts w:hint="eastAsia" w:ascii="宋体" w:hAnsi="宋体" w:eastAsia="宋体" w:cs="宋体"/>
                <w:b/>
                <w:bCs/>
                <w:color w:val="auto"/>
                <w:sz w:val="18"/>
                <w:szCs w:val="18"/>
                <w:highlight w:val="none"/>
                <w:u w:val="single"/>
                <w:lang w:val="en-US" w:eastAsia="zh-CN"/>
              </w:rPr>
              <w:t xml:space="preserve">   </w:t>
            </w:r>
            <w:r>
              <w:rPr>
                <w:rFonts w:hint="eastAsia" w:ascii="宋体" w:hAnsi="宋体" w:cs="宋体"/>
                <w:b/>
                <w:bCs/>
                <w:color w:val="auto"/>
                <w:sz w:val="18"/>
                <w:szCs w:val="18"/>
                <w:highlight w:val="none"/>
                <w:u w:val="single"/>
                <w:lang w:val="en-US" w:eastAsia="zh-CN"/>
              </w:rPr>
              <w:t xml:space="preserve"> </w:t>
            </w:r>
            <w:r>
              <w:rPr>
                <w:rFonts w:hint="eastAsia" w:ascii="宋体" w:hAnsi="宋体" w:eastAsia="宋体" w:cs="宋体"/>
                <w:b/>
                <w:bCs/>
                <w:color w:val="auto"/>
                <w:sz w:val="18"/>
                <w:szCs w:val="18"/>
                <w:highlight w:val="none"/>
                <w:u w:val="single"/>
                <w:lang w:val="en-US" w:eastAsia="zh-CN"/>
              </w:rPr>
              <w:t xml:space="preserve">     </w:t>
            </w:r>
            <w:r>
              <w:rPr>
                <w:rFonts w:hint="eastAsia" w:ascii="宋体" w:hAnsi="宋体" w:eastAsia="宋体" w:cs="宋体"/>
                <w:b/>
                <w:bCs/>
                <w:color w:val="auto"/>
                <w:sz w:val="18"/>
                <w:szCs w:val="18"/>
                <w:highlight w:val="none"/>
                <w:u w:val="single"/>
              </w:rPr>
              <w:t xml:space="preserve">     </w:t>
            </w:r>
            <w:r>
              <w:rPr>
                <w:rFonts w:hint="eastAsia" w:ascii="宋体" w:hAnsi="宋体" w:eastAsia="宋体" w:cs="宋体"/>
                <w:b/>
                <w:bCs/>
                <w:color w:val="auto"/>
                <w:sz w:val="18"/>
                <w:szCs w:val="18"/>
                <w:highlight w:val="none"/>
              </w:rPr>
              <w:t>；大写：</w:t>
            </w:r>
            <w:r>
              <w:rPr>
                <w:rFonts w:hint="eastAsia" w:hAnsi="宋体" w:cs="宋体"/>
                <w:b/>
                <w:bCs/>
                <w:color w:val="auto"/>
                <w:sz w:val="18"/>
                <w:szCs w:val="18"/>
                <w:highlight w:val="none"/>
                <w:u w:val="single"/>
                <w:lang w:val="en-US" w:eastAsia="zh-CN"/>
              </w:rPr>
              <w:t xml:space="preserve">                      </w:t>
            </w:r>
            <w:r>
              <w:rPr>
                <w:rFonts w:hint="eastAsia" w:ascii="宋体" w:hAnsi="宋体" w:eastAsia="宋体" w:cs="宋体"/>
                <w:b/>
                <w:bCs/>
                <w:color w:val="auto"/>
                <w:sz w:val="18"/>
                <w:szCs w:val="18"/>
                <w:highlight w:val="none"/>
                <w:u w:val="none"/>
              </w:rPr>
              <w:t xml:space="preserve"> </w:t>
            </w:r>
            <w:r>
              <w:rPr>
                <w:rFonts w:hint="eastAsia" w:hAnsi="宋体" w:cs="宋体"/>
                <w:b/>
                <w:bCs/>
                <w:color w:val="auto"/>
                <w:sz w:val="18"/>
                <w:szCs w:val="18"/>
                <w:highlight w:val="none"/>
                <w:u w:val="none"/>
                <w:lang w:eastAsia="zh-CN"/>
              </w:rPr>
              <w:t>；</w:t>
            </w:r>
            <w:r>
              <w:rPr>
                <w:rFonts w:hint="eastAsia" w:ascii="宋体" w:hAnsi="宋体" w:eastAsia="宋体" w:cs="宋体"/>
                <w:b/>
                <w:bCs/>
                <w:color w:val="auto"/>
                <w:sz w:val="18"/>
                <w:szCs w:val="18"/>
                <w:highlight w:val="none"/>
                <w:u w:val="none"/>
              </w:rPr>
              <w:t xml:space="preserve">       </w:t>
            </w:r>
            <w:r>
              <w:rPr>
                <w:rFonts w:hint="eastAsia" w:ascii="宋体" w:hAnsi="宋体" w:eastAsia="宋体" w:cs="宋体"/>
                <w:b/>
                <w:bCs/>
                <w:color w:val="auto"/>
                <w:sz w:val="18"/>
                <w:szCs w:val="18"/>
                <w:highlight w:val="none"/>
                <w:u w:val="none"/>
                <w:lang w:val="en-US" w:eastAsia="zh-CN"/>
              </w:rPr>
              <w:t xml:space="preserve">   </w:t>
            </w:r>
            <w:r>
              <w:rPr>
                <w:rFonts w:hint="eastAsia" w:ascii="宋体" w:hAnsi="宋体" w:cs="宋体"/>
                <w:b/>
                <w:bCs/>
                <w:color w:val="auto"/>
                <w:sz w:val="18"/>
                <w:szCs w:val="18"/>
                <w:highlight w:val="none"/>
                <w:u w:val="none"/>
                <w:lang w:val="en-US" w:eastAsia="zh-CN"/>
              </w:rPr>
              <w:t xml:space="preserve"> </w:t>
            </w:r>
            <w:r>
              <w:rPr>
                <w:rFonts w:hint="eastAsia" w:ascii="宋体" w:hAnsi="宋体" w:eastAsia="宋体" w:cs="宋体"/>
                <w:b/>
                <w:bCs/>
                <w:color w:val="auto"/>
                <w:sz w:val="18"/>
                <w:szCs w:val="18"/>
                <w:highlight w:val="none"/>
                <w:u w:val="none"/>
                <w:lang w:val="en-US" w:eastAsia="zh-CN"/>
              </w:rPr>
              <w:t xml:space="preserve">     </w:t>
            </w:r>
            <w:r>
              <w:rPr>
                <w:rFonts w:hint="eastAsia" w:ascii="宋体" w:hAnsi="宋体" w:eastAsia="宋体" w:cs="宋体"/>
                <w:b/>
                <w:bCs/>
                <w:color w:val="auto"/>
                <w:sz w:val="18"/>
                <w:szCs w:val="18"/>
                <w:highlight w:val="none"/>
                <w:u w:val="none"/>
              </w:rPr>
              <w:t xml:space="preserve">      </w:t>
            </w:r>
            <w:r>
              <w:rPr>
                <w:rFonts w:hint="eastAsia" w:ascii="宋体" w:hAnsi="宋体" w:eastAsia="宋体" w:cs="宋体"/>
                <w:b/>
                <w:bCs/>
                <w:color w:val="auto"/>
                <w:sz w:val="18"/>
                <w:szCs w:val="18"/>
                <w:highlight w:val="none"/>
                <w:u w:val="single"/>
              </w:rPr>
              <w:t xml:space="preserve">           </w:t>
            </w:r>
            <w:r>
              <w:rPr>
                <w:rFonts w:hint="eastAsia" w:ascii="宋体" w:hAnsi="宋体" w:eastAsia="宋体" w:cs="宋体"/>
                <w:b/>
                <w:bCs/>
                <w:color w:val="auto"/>
                <w:sz w:val="18"/>
                <w:szCs w:val="18"/>
                <w:highlight w:val="none"/>
                <w:u w:val="single"/>
                <w:lang w:val="en-US" w:eastAsia="zh-CN"/>
              </w:rPr>
              <w:t xml:space="preserve">          </w:t>
            </w:r>
            <w:r>
              <w:rPr>
                <w:rFonts w:hint="eastAsia" w:ascii="宋体" w:hAnsi="宋体" w:eastAsia="宋体" w:cs="宋体"/>
                <w:b/>
                <w:bCs/>
                <w:color w:val="auto"/>
                <w:sz w:val="18"/>
                <w:szCs w:val="18"/>
                <w:highlight w:val="none"/>
                <w:u w:val="single"/>
              </w:rPr>
              <w:t xml:space="preserve">         </w:t>
            </w:r>
          </w:p>
        </w:tc>
      </w:tr>
    </w:tbl>
    <w:p>
      <w:pPr>
        <w:shd w:val="clear"/>
        <w:spacing w:line="300" w:lineRule="exact"/>
        <w:rPr>
          <w:rFonts w:hint="eastAsia" w:hAnsi="宋体" w:cs="宋体"/>
          <w:color w:val="auto"/>
          <w:sz w:val="21"/>
          <w:szCs w:val="21"/>
          <w:highlight w:val="none"/>
        </w:rPr>
      </w:pPr>
    </w:p>
    <w:p>
      <w:pPr>
        <w:shd w:val="clear"/>
        <w:spacing w:line="300" w:lineRule="exac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注：1.报价应是最终用户验收合格后的总价，包括人工、保险、代理、培训、税费等实施本次采购项目的所有费用。 2.“报价一览表”根据项目实际要求进行增加，如为多页的，每页均需由法定代表人/单位负责人或授权代表签字并盖供应商印章。3.“报价一览表”以包为单位填写。“国家医保编码”和“商品编号”</w:t>
      </w:r>
      <w:r>
        <w:rPr>
          <w:rFonts w:hint="eastAsia" w:hAnsi="宋体" w:cs="宋体"/>
          <w:color w:val="auto"/>
          <w:sz w:val="21"/>
          <w:szCs w:val="21"/>
          <w:highlight w:val="none"/>
          <w:lang w:val="en-US" w:eastAsia="zh-CN"/>
        </w:rPr>
        <w:t>等信息应准确填写，如有产品无相关信息的填写“/”即可</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注册证号或备案证号”须完整填写且和“是否为原装进口产品”表达一致，如不一致，以“注册证号或备案证号”体现内容为准，注册证号或备案证号及产品名称必须准确无误，请供应商仔细核实响应文件，若交货时发现实物的上述信息与响应文件有不一致的情况，可能导致无法交货的风险。</w:t>
      </w:r>
      <w:r>
        <w:rPr>
          <w:rFonts w:hint="eastAsia" w:hAnsi="宋体" w:cs="宋体"/>
          <w:color w:val="auto"/>
          <w:sz w:val="21"/>
          <w:szCs w:val="21"/>
          <w:highlight w:val="none"/>
          <w:lang w:val="en-US" w:eastAsia="zh-CN"/>
        </w:rPr>
        <w:t>如不涉及填写“/”即可</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5.报价分为报价（1）和报价（2）两部分，两部分允许分别报不同的下浮率，但各自部分内的所有产品的下浮率须保持一致。</w:t>
      </w:r>
    </w:p>
    <w:p>
      <w:pPr>
        <w:shd w:val="clear"/>
        <w:spacing w:line="300" w:lineRule="exact"/>
        <w:rPr>
          <w:rFonts w:hAnsi="宋体" w:cs="宋体"/>
          <w:color w:val="auto"/>
          <w:sz w:val="21"/>
          <w:szCs w:val="21"/>
          <w:highlight w:val="none"/>
        </w:rPr>
      </w:pPr>
    </w:p>
    <w:p>
      <w:pPr>
        <w:pStyle w:val="17"/>
        <w:shd w:val="clear"/>
        <w:rPr>
          <w:color w:val="auto"/>
          <w:highlight w:val="none"/>
        </w:rPr>
      </w:pPr>
    </w:p>
    <w:p>
      <w:pPr>
        <w:widowControl/>
        <w:shd w:val="clear"/>
        <w:spacing w:line="360" w:lineRule="atLeast"/>
        <w:jc w:val="left"/>
        <w:outlineLvl w:val="1"/>
        <w:rPr>
          <w:rFonts w:hAnsi="宋体"/>
          <w:b/>
          <w:bCs/>
          <w:color w:val="auto"/>
          <w:sz w:val="24"/>
          <w:highlight w:val="none"/>
        </w:rPr>
      </w:pPr>
      <w:r>
        <w:rPr>
          <w:rFonts w:hint="eastAsia" w:hAnsi="宋体"/>
          <w:b/>
          <w:bCs/>
          <w:color w:val="auto"/>
          <w:sz w:val="24"/>
          <w:highlight w:val="none"/>
        </w:rPr>
        <w:t>供应商名称：XXXX（单位公章）。</w:t>
      </w:r>
    </w:p>
    <w:p>
      <w:pPr>
        <w:widowControl/>
        <w:shd w:val="clear"/>
        <w:spacing w:line="360" w:lineRule="atLeast"/>
        <w:jc w:val="left"/>
        <w:outlineLvl w:val="1"/>
        <w:rPr>
          <w:rFonts w:hAnsi="宋体"/>
          <w:b/>
          <w:bCs/>
          <w:color w:val="auto"/>
          <w:sz w:val="24"/>
          <w:highlight w:val="none"/>
        </w:rPr>
      </w:pPr>
      <w:r>
        <w:rPr>
          <w:rFonts w:hint="eastAsia" w:hAnsi="宋体"/>
          <w:b/>
          <w:bCs/>
          <w:color w:val="auto"/>
          <w:sz w:val="24"/>
          <w:highlight w:val="none"/>
        </w:rPr>
        <w:t>法定代表人/单位负责人或授权代表（签字或加盖个人名章）：XXXX。</w:t>
      </w:r>
    </w:p>
    <w:p>
      <w:pPr>
        <w:widowControl/>
        <w:shd w:val="clear"/>
        <w:spacing w:line="360" w:lineRule="atLeast"/>
        <w:jc w:val="left"/>
        <w:outlineLvl w:val="1"/>
        <w:rPr>
          <w:rFonts w:hint="eastAsia" w:hAnsi="宋体"/>
          <w:b/>
          <w:bCs/>
          <w:color w:val="auto"/>
          <w:sz w:val="24"/>
          <w:highlight w:val="none"/>
        </w:rPr>
      </w:pPr>
      <w:r>
        <w:rPr>
          <w:rFonts w:hint="eastAsia" w:hAnsi="宋体" w:cs="宋体"/>
          <w:b/>
          <w:bCs/>
          <w:color w:val="auto"/>
          <w:sz w:val="24"/>
          <w:szCs w:val="24"/>
          <w:highlight w:val="none"/>
        </w:rPr>
        <w:t>参选</w:t>
      </w:r>
      <w:r>
        <w:rPr>
          <w:rFonts w:hint="eastAsia" w:hAnsi="宋体"/>
          <w:b/>
          <w:bCs/>
          <w:color w:val="auto"/>
          <w:sz w:val="24"/>
          <w:highlight w:val="none"/>
        </w:rPr>
        <w:t>日期：年  月  日。</w:t>
      </w:r>
    </w:p>
    <w:p>
      <w:pPr>
        <w:pStyle w:val="3"/>
        <w:shd w:val="clear"/>
        <w:spacing w:line="400" w:lineRule="exact"/>
        <w:ind w:left="581" w:leftChars="171" w:right="537" w:rightChars="158"/>
        <w:jc w:val="center"/>
        <w:rPr>
          <w:rFonts w:ascii="宋体" w:hAnsi="宋体" w:eastAsia="宋体" w:cs="宋体"/>
          <w:bCs/>
          <w:color w:val="auto"/>
          <w:szCs w:val="28"/>
          <w:highlight w:val="none"/>
        </w:rPr>
      </w:pPr>
      <w:r>
        <w:rPr>
          <w:rFonts w:hint="eastAsia" w:ascii="宋体" w:hAnsi="宋体" w:eastAsia="宋体" w:cs="宋体"/>
          <w:bCs/>
          <w:color w:val="auto"/>
          <w:szCs w:val="28"/>
          <w:highlight w:val="none"/>
          <w:lang w:val="en-US" w:eastAsia="zh-CN"/>
        </w:rPr>
        <w:t>一 -2</w:t>
      </w:r>
      <w:r>
        <w:rPr>
          <w:rFonts w:hint="eastAsia" w:ascii="宋体" w:hAnsi="宋体" w:eastAsia="宋体" w:cs="宋体"/>
          <w:bCs/>
          <w:color w:val="auto"/>
          <w:szCs w:val="28"/>
          <w:highlight w:val="none"/>
        </w:rPr>
        <w:t>、</w:t>
      </w:r>
      <w:r>
        <w:rPr>
          <w:rFonts w:hint="eastAsia" w:hAnsi="宋体" w:cs="宋体"/>
          <w:b/>
          <w:bCs/>
          <w:color w:val="auto"/>
          <w:kern w:val="2"/>
          <w:sz w:val="28"/>
          <w:szCs w:val="28"/>
          <w:highlight w:val="none"/>
          <w:u w:val="single"/>
          <w:lang w:val="en-US" w:eastAsia="zh-CN"/>
        </w:rPr>
        <w:t xml:space="preserve"> XX 包</w:t>
      </w:r>
      <w:r>
        <w:rPr>
          <w:rFonts w:hint="eastAsia" w:ascii="宋体" w:hAnsi="宋体" w:eastAsia="宋体" w:cs="宋体"/>
          <w:bCs/>
          <w:color w:val="auto"/>
          <w:szCs w:val="28"/>
          <w:highlight w:val="none"/>
          <w:lang w:val="en-US" w:eastAsia="zh-CN"/>
        </w:rPr>
        <w:t>分项报价</w:t>
      </w:r>
      <w:r>
        <w:rPr>
          <w:rFonts w:hint="eastAsia" w:ascii="宋体" w:hAnsi="宋体" w:eastAsia="宋体" w:cs="宋体"/>
          <w:bCs/>
          <w:color w:val="auto"/>
          <w:szCs w:val="28"/>
          <w:highlight w:val="none"/>
        </w:rPr>
        <w:t>表</w:t>
      </w:r>
      <w:r>
        <w:rPr>
          <w:rFonts w:hint="eastAsia" w:ascii="宋体" w:hAnsi="宋体" w:eastAsia="宋体" w:cs="宋体"/>
          <w:bCs/>
          <w:color w:val="auto"/>
          <w:szCs w:val="28"/>
        </w:rPr>
        <w:t>（实质性要求）</w:t>
      </w:r>
    </w:p>
    <w:p>
      <w:pPr>
        <w:pStyle w:val="17"/>
        <w:shd w:val="clear"/>
        <w:spacing w:after="0"/>
        <w:rPr>
          <w:rFonts w:hAnsi="宋体" w:cs="宋体"/>
          <w:b/>
          <w:bCs/>
          <w:snapToGrid w:val="0"/>
          <w:color w:val="auto"/>
          <w:sz w:val="24"/>
          <w:highlight w:val="none"/>
        </w:rPr>
      </w:pPr>
      <w:r>
        <w:rPr>
          <w:rFonts w:hint="eastAsia" w:ascii="宋体" w:hAnsi="宋体" w:eastAsia="宋体" w:cs="宋体"/>
          <w:b/>
          <w:color w:val="auto"/>
          <w:sz w:val="24"/>
          <w:highlight w:val="none"/>
        </w:rPr>
        <w:t>项目编号：</w:t>
      </w:r>
    </w:p>
    <w:tbl>
      <w:tblPr>
        <w:tblStyle w:val="37"/>
        <w:tblW w:w="4997"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51"/>
        <w:gridCol w:w="807"/>
        <w:gridCol w:w="1040"/>
        <w:gridCol w:w="1014"/>
        <w:gridCol w:w="1583"/>
        <w:gridCol w:w="1055"/>
        <w:gridCol w:w="1367"/>
        <w:gridCol w:w="1367"/>
        <w:gridCol w:w="2830"/>
        <w:gridCol w:w="79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92"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序</w:t>
            </w:r>
            <w:r>
              <w:rPr>
                <w:rFonts w:hint="eastAsia" w:ascii="宋体" w:hAnsi="宋体" w:eastAsia="宋体" w:cs="宋体"/>
                <w:b/>
                <w:color w:val="auto"/>
                <w:kern w:val="0"/>
                <w:sz w:val="18"/>
                <w:szCs w:val="18"/>
                <w:highlight w:val="none"/>
              </w:rPr>
              <w:t>号</w:t>
            </w:r>
          </w:p>
        </w:tc>
        <w:tc>
          <w:tcPr>
            <w:tcW w:w="635" w:type="pct"/>
            <w:tcBorders>
              <w:tl2br w:val="nil"/>
              <w:tr2bl w:val="nil"/>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产品名称</w:t>
            </w:r>
          </w:p>
        </w:tc>
        <w:tc>
          <w:tcPr>
            <w:tcW w:w="277"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制造厂家</w:t>
            </w:r>
          </w:p>
        </w:tc>
        <w:tc>
          <w:tcPr>
            <w:tcW w:w="357"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品牌/规格型号</w:t>
            </w:r>
          </w:p>
        </w:tc>
        <w:tc>
          <w:tcPr>
            <w:tcW w:w="348"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eastAsia="zh-CN"/>
              </w:rPr>
              <w:t>是否为进口产品</w:t>
            </w:r>
          </w:p>
        </w:tc>
        <w:tc>
          <w:tcPr>
            <w:tcW w:w="543"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lang w:val="en-US" w:eastAsia="zh-CN"/>
              </w:rPr>
            </w:pPr>
            <w:r>
              <w:rPr>
                <w:rFonts w:hint="eastAsia" w:hAnsi="宋体" w:cs="宋体"/>
                <w:b/>
                <w:color w:val="auto"/>
                <w:kern w:val="0"/>
                <w:sz w:val="18"/>
                <w:szCs w:val="18"/>
                <w:highlight w:val="none"/>
                <w:lang w:val="en-US" w:eastAsia="zh-CN"/>
              </w:rPr>
              <w:t>是否属于“四川省医疗保障信息大数据一体化平台药品和医用耗材招采管理子系统”挂网产品</w:t>
            </w:r>
          </w:p>
        </w:tc>
        <w:tc>
          <w:tcPr>
            <w:tcW w:w="362" w:type="pct"/>
            <w:tcBorders>
              <w:tl2br w:val="nil"/>
              <w:tr2bl w:val="nil"/>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国家医保编码</w:t>
            </w:r>
          </w:p>
        </w:tc>
        <w:tc>
          <w:tcPr>
            <w:tcW w:w="469"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商品编号</w:t>
            </w:r>
            <w:r>
              <w:rPr>
                <w:rFonts w:hint="eastAsia" w:hAnsi="宋体" w:cs="宋体"/>
                <w:b/>
                <w:color w:val="auto"/>
                <w:kern w:val="0"/>
                <w:sz w:val="18"/>
                <w:szCs w:val="18"/>
                <w:highlight w:val="none"/>
                <w:lang w:val="en-US" w:eastAsia="zh-CN"/>
              </w:rPr>
              <w:t>（产品流水号）</w:t>
            </w:r>
          </w:p>
        </w:tc>
        <w:tc>
          <w:tcPr>
            <w:tcW w:w="469"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注册证号或备案证号</w:t>
            </w:r>
          </w:p>
        </w:tc>
        <w:tc>
          <w:tcPr>
            <w:tcW w:w="971" w:type="pct"/>
            <w:tcBorders>
              <w:tl2br w:val="nil"/>
              <w:tr2bl w:val="nil"/>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hAnsi="宋体" w:cs="宋体"/>
                <w:b/>
                <w:color w:val="auto"/>
                <w:kern w:val="0"/>
                <w:sz w:val="18"/>
                <w:szCs w:val="18"/>
                <w:highlight w:val="none"/>
                <w:lang w:val="en-US" w:eastAsia="zh-CN"/>
              </w:rPr>
              <w:t>投标下浮率（%）（注：各自部分内产品的下浮率保持一致，且与开标一览表的下浮率保持一致）</w:t>
            </w:r>
          </w:p>
        </w:tc>
        <w:tc>
          <w:tcPr>
            <w:tcW w:w="272"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92" w:type="pct"/>
            <w:tcBorders>
              <w:tl2br w:val="nil"/>
              <w:tr2bl w:val="nil"/>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p>
        </w:tc>
        <w:tc>
          <w:tcPr>
            <w:tcW w:w="635"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lang w:val="en-US" w:eastAsia="zh-CN"/>
              </w:rPr>
            </w:pPr>
          </w:p>
        </w:tc>
        <w:tc>
          <w:tcPr>
            <w:tcW w:w="277" w:type="pct"/>
            <w:tcBorders>
              <w:tl2br w:val="nil"/>
              <w:tr2bl w:val="nil"/>
            </w:tcBorders>
            <w:noWrap w:val="0"/>
            <w:vAlign w:val="center"/>
          </w:tcPr>
          <w:p>
            <w:pPr>
              <w:pStyle w:val="17"/>
              <w:shd w:val="clear"/>
              <w:jc w:val="center"/>
              <w:rPr>
                <w:rFonts w:hint="default" w:ascii="宋体" w:hAnsi="宋体" w:eastAsia="宋体" w:cs="宋体"/>
                <w:color w:val="auto"/>
                <w:sz w:val="18"/>
                <w:szCs w:val="18"/>
                <w:highlight w:val="none"/>
                <w:lang w:val="en-US" w:eastAsia="zh-CN"/>
              </w:rPr>
            </w:pPr>
          </w:p>
        </w:tc>
        <w:tc>
          <w:tcPr>
            <w:tcW w:w="357" w:type="pct"/>
            <w:tcBorders>
              <w:tl2br w:val="nil"/>
              <w:tr2bl w:val="nil"/>
            </w:tcBorders>
            <w:noWrap w:val="0"/>
            <w:vAlign w:val="center"/>
          </w:tcPr>
          <w:p>
            <w:pPr>
              <w:pStyle w:val="17"/>
              <w:shd w:val="clear"/>
              <w:jc w:val="center"/>
              <w:rPr>
                <w:rFonts w:hint="default" w:ascii="宋体" w:hAnsi="宋体" w:eastAsia="宋体" w:cs="宋体"/>
                <w:color w:val="auto"/>
                <w:sz w:val="18"/>
                <w:szCs w:val="18"/>
                <w:highlight w:val="none"/>
                <w:lang w:val="en-US" w:eastAsia="zh-CN"/>
              </w:rPr>
            </w:pPr>
          </w:p>
        </w:tc>
        <w:tc>
          <w:tcPr>
            <w:tcW w:w="348"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543"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362"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469"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469"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971"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272"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92"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lang w:val="en-US" w:eastAsia="zh-CN"/>
              </w:rPr>
            </w:pPr>
          </w:p>
        </w:tc>
        <w:tc>
          <w:tcPr>
            <w:tcW w:w="635" w:type="pct"/>
            <w:tcBorders>
              <w:tl2br w:val="nil"/>
              <w:tr2bl w:val="nil"/>
            </w:tcBorders>
            <w:noWrap w:val="0"/>
            <w:vAlign w:val="center"/>
          </w:tcPr>
          <w:p>
            <w:pPr>
              <w:widowControl/>
              <w:shd w:val="clear"/>
              <w:spacing w:after="0"/>
              <w:jc w:val="center"/>
              <w:rPr>
                <w:rFonts w:hint="eastAsia" w:ascii="宋体" w:hAnsi="宋体" w:eastAsia="宋体" w:cs="宋体"/>
                <w:b/>
                <w:color w:val="auto"/>
                <w:kern w:val="0"/>
                <w:sz w:val="18"/>
                <w:szCs w:val="18"/>
                <w:highlight w:val="none"/>
                <w:lang w:val="en-US" w:eastAsia="zh-CN"/>
              </w:rPr>
            </w:pPr>
          </w:p>
        </w:tc>
        <w:tc>
          <w:tcPr>
            <w:tcW w:w="277" w:type="pct"/>
            <w:tcBorders>
              <w:tl2br w:val="nil"/>
              <w:tr2bl w:val="nil"/>
            </w:tcBorders>
            <w:noWrap w:val="0"/>
            <w:vAlign w:val="center"/>
          </w:tcPr>
          <w:p>
            <w:pPr>
              <w:pStyle w:val="17"/>
              <w:shd w:val="clear"/>
              <w:jc w:val="center"/>
              <w:rPr>
                <w:rFonts w:hint="default" w:ascii="宋体" w:hAnsi="宋体" w:eastAsia="宋体" w:cs="宋体"/>
                <w:color w:val="auto"/>
                <w:sz w:val="18"/>
                <w:szCs w:val="18"/>
                <w:highlight w:val="none"/>
                <w:lang w:val="en-US" w:eastAsia="zh-CN"/>
              </w:rPr>
            </w:pPr>
          </w:p>
        </w:tc>
        <w:tc>
          <w:tcPr>
            <w:tcW w:w="357" w:type="pct"/>
            <w:tcBorders>
              <w:tl2br w:val="nil"/>
              <w:tr2bl w:val="nil"/>
            </w:tcBorders>
            <w:noWrap w:val="0"/>
            <w:vAlign w:val="center"/>
          </w:tcPr>
          <w:p>
            <w:pPr>
              <w:pStyle w:val="17"/>
              <w:shd w:val="clear"/>
              <w:jc w:val="center"/>
              <w:rPr>
                <w:rFonts w:hint="default" w:ascii="宋体" w:hAnsi="宋体" w:eastAsia="宋体" w:cs="宋体"/>
                <w:color w:val="auto"/>
                <w:sz w:val="18"/>
                <w:szCs w:val="18"/>
                <w:highlight w:val="none"/>
                <w:lang w:val="en-US" w:eastAsia="zh-CN"/>
              </w:rPr>
            </w:pPr>
          </w:p>
        </w:tc>
        <w:tc>
          <w:tcPr>
            <w:tcW w:w="348"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543"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362"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469"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469"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971"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272"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2" w:type="pct"/>
            <w:tcBorders>
              <w:tl2br w:val="nil"/>
              <w:tr2bl w:val="nil"/>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hAnsi="宋体" w:cs="宋体"/>
                <w:b/>
                <w:color w:val="auto"/>
                <w:kern w:val="0"/>
                <w:sz w:val="18"/>
                <w:szCs w:val="18"/>
                <w:highlight w:val="none"/>
                <w:lang w:val="en-US" w:eastAsia="zh-CN"/>
              </w:rPr>
              <w:t>...</w:t>
            </w:r>
          </w:p>
        </w:tc>
        <w:tc>
          <w:tcPr>
            <w:tcW w:w="635" w:type="pct"/>
            <w:tcBorders>
              <w:tl2br w:val="nil"/>
              <w:tr2bl w:val="nil"/>
            </w:tcBorders>
            <w:noWrap w:val="0"/>
            <w:vAlign w:val="center"/>
          </w:tcPr>
          <w:p>
            <w:pPr>
              <w:widowControl/>
              <w:shd w:val="clear"/>
              <w:spacing w:after="0"/>
              <w:jc w:val="center"/>
              <w:rPr>
                <w:rFonts w:hint="default" w:ascii="宋体" w:hAnsi="宋体" w:eastAsia="宋体" w:cs="宋体"/>
                <w:b/>
                <w:color w:val="auto"/>
                <w:kern w:val="0"/>
                <w:sz w:val="18"/>
                <w:szCs w:val="18"/>
                <w:highlight w:val="none"/>
                <w:lang w:val="en-US" w:eastAsia="zh-CN"/>
              </w:rPr>
            </w:pPr>
            <w:r>
              <w:rPr>
                <w:rFonts w:hint="eastAsia" w:hAnsi="宋体" w:cs="宋体"/>
                <w:b/>
                <w:color w:val="auto"/>
                <w:kern w:val="0"/>
                <w:sz w:val="18"/>
                <w:szCs w:val="18"/>
                <w:highlight w:val="none"/>
                <w:lang w:val="en-US" w:eastAsia="zh-CN"/>
              </w:rPr>
              <w:t>...</w:t>
            </w:r>
          </w:p>
        </w:tc>
        <w:tc>
          <w:tcPr>
            <w:tcW w:w="277" w:type="pct"/>
            <w:tcBorders>
              <w:tl2br w:val="nil"/>
              <w:tr2bl w:val="nil"/>
            </w:tcBorders>
            <w:noWrap w:val="0"/>
            <w:vAlign w:val="center"/>
          </w:tcPr>
          <w:p>
            <w:pPr>
              <w:pStyle w:val="17"/>
              <w:shd w:val="clear"/>
              <w:jc w:val="center"/>
              <w:rPr>
                <w:rFonts w:hint="default" w:ascii="宋体" w:hAnsi="宋体" w:eastAsia="宋体" w:cs="宋体"/>
                <w:color w:val="auto"/>
                <w:sz w:val="18"/>
                <w:szCs w:val="18"/>
                <w:highlight w:val="none"/>
                <w:lang w:val="en-US" w:eastAsia="zh-CN"/>
              </w:rPr>
            </w:pPr>
          </w:p>
        </w:tc>
        <w:tc>
          <w:tcPr>
            <w:tcW w:w="357" w:type="pct"/>
            <w:tcBorders>
              <w:tl2br w:val="nil"/>
              <w:tr2bl w:val="nil"/>
            </w:tcBorders>
            <w:noWrap w:val="0"/>
            <w:vAlign w:val="center"/>
          </w:tcPr>
          <w:p>
            <w:pPr>
              <w:pStyle w:val="17"/>
              <w:shd w:val="clear"/>
              <w:jc w:val="center"/>
              <w:rPr>
                <w:rFonts w:hint="default" w:ascii="宋体" w:hAnsi="宋体" w:eastAsia="宋体" w:cs="宋体"/>
                <w:color w:val="auto"/>
                <w:sz w:val="18"/>
                <w:szCs w:val="18"/>
                <w:highlight w:val="none"/>
                <w:lang w:val="en-US" w:eastAsia="zh-CN"/>
              </w:rPr>
            </w:pPr>
          </w:p>
        </w:tc>
        <w:tc>
          <w:tcPr>
            <w:tcW w:w="348"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543"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362"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469"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469"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971"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c>
          <w:tcPr>
            <w:tcW w:w="272" w:type="pct"/>
            <w:tcBorders>
              <w:tl2br w:val="nil"/>
              <w:tr2bl w:val="nil"/>
            </w:tcBorders>
            <w:noWrap w:val="0"/>
            <w:vAlign w:val="center"/>
          </w:tcPr>
          <w:p>
            <w:pPr>
              <w:pStyle w:val="17"/>
              <w:shd w:val="clear"/>
              <w:jc w:val="center"/>
              <w:rPr>
                <w:rFonts w:hint="eastAsia" w:ascii="宋体" w:hAnsi="宋体" w:eastAsia="宋体" w:cs="宋体"/>
                <w:color w:val="auto"/>
                <w:sz w:val="18"/>
                <w:szCs w:val="18"/>
                <w:highlight w:val="none"/>
              </w:rPr>
            </w:pPr>
          </w:p>
        </w:tc>
      </w:tr>
    </w:tbl>
    <w:p>
      <w:pPr>
        <w:shd w:val="clear"/>
        <w:spacing w:line="300" w:lineRule="exact"/>
        <w:rPr>
          <w:rFonts w:hint="eastAsia" w:hAnsi="宋体" w:cs="宋体"/>
          <w:color w:val="auto"/>
          <w:sz w:val="21"/>
          <w:szCs w:val="21"/>
          <w:highlight w:val="none"/>
        </w:rPr>
      </w:pPr>
    </w:p>
    <w:p>
      <w:pPr>
        <w:shd w:val="clear"/>
        <w:spacing w:line="300" w:lineRule="exact"/>
        <w:rPr>
          <w:rFonts w:hAnsi="宋体" w:cs="宋体"/>
          <w:color w:val="auto"/>
          <w:sz w:val="21"/>
          <w:szCs w:val="21"/>
          <w:highlight w:val="none"/>
        </w:rPr>
      </w:pPr>
      <w:r>
        <w:rPr>
          <w:rFonts w:hint="eastAsia" w:hAnsi="宋体" w:cs="宋体"/>
          <w:color w:val="auto"/>
          <w:sz w:val="21"/>
          <w:szCs w:val="21"/>
          <w:highlight w:val="none"/>
        </w:rPr>
        <w:t>注：1. 报价应是最终用户验收合格后的总价，包括人工、保险、代理、培训、税费等实施本次采购项目的所有费用。 2.“</w:t>
      </w:r>
      <w:r>
        <w:rPr>
          <w:rFonts w:hint="eastAsia" w:hAnsi="宋体" w:cs="宋体"/>
          <w:color w:val="auto"/>
          <w:sz w:val="21"/>
          <w:szCs w:val="21"/>
          <w:highlight w:val="none"/>
          <w:lang w:val="en-US" w:eastAsia="zh-CN"/>
        </w:rPr>
        <w:t>分项报价</w:t>
      </w:r>
      <w:r>
        <w:rPr>
          <w:rFonts w:hint="eastAsia" w:hAnsi="宋体" w:cs="宋体"/>
          <w:color w:val="auto"/>
          <w:sz w:val="21"/>
          <w:szCs w:val="21"/>
          <w:highlight w:val="none"/>
        </w:rPr>
        <w:t>表”根据项目实际要求进行增加，如为多页的，每页均需由法定代表人/单位负责人或授权代表签字并盖供应商印章。3.“报价一览表”以包为单位填写。“国家医保编码”和“商品编号”</w:t>
      </w:r>
      <w:r>
        <w:rPr>
          <w:rFonts w:hint="eastAsia" w:hAnsi="宋体" w:cs="宋体"/>
          <w:color w:val="auto"/>
          <w:sz w:val="21"/>
          <w:szCs w:val="21"/>
          <w:highlight w:val="none"/>
          <w:lang w:val="en-US" w:eastAsia="zh-CN"/>
        </w:rPr>
        <w:t>等信息应准确填写，如有产品无相关信息的填写“/”即可</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注册证号或备案证号”须完整填写且和“是否为原装进口产品”表达一致，如不一致，以“注册证号或备案证号”体现内容为准，注册证号或备案证号及产品名称必须准确无误，请供应商仔细核实响应文件，若交货时发现实物的上述信息与响应文件有不一致的情况，可能导致无法交货的风险。</w:t>
      </w:r>
      <w:r>
        <w:rPr>
          <w:rFonts w:hint="eastAsia" w:hAnsi="宋体" w:cs="宋体"/>
          <w:color w:val="auto"/>
          <w:sz w:val="21"/>
          <w:szCs w:val="21"/>
          <w:highlight w:val="none"/>
          <w:lang w:val="en-US" w:eastAsia="zh-CN"/>
        </w:rPr>
        <w:t>如不涉及填写“/”即可</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5.报价分为报价（1）和报价（2）两部分，两部分允许分别报不同的下浮率，但各自部分内的所有产品的下浮率须保持一致。</w:t>
      </w:r>
    </w:p>
    <w:p>
      <w:pPr>
        <w:widowControl/>
        <w:shd w:val="clear"/>
        <w:spacing w:line="360" w:lineRule="atLeast"/>
        <w:jc w:val="left"/>
        <w:outlineLvl w:val="1"/>
        <w:rPr>
          <w:rFonts w:hAnsi="宋体"/>
          <w:b/>
          <w:bCs/>
          <w:color w:val="auto"/>
          <w:sz w:val="24"/>
          <w:highlight w:val="none"/>
        </w:rPr>
      </w:pPr>
      <w:r>
        <w:rPr>
          <w:rFonts w:hint="eastAsia" w:hAnsi="宋体"/>
          <w:b/>
          <w:bCs/>
          <w:color w:val="auto"/>
          <w:sz w:val="24"/>
          <w:highlight w:val="none"/>
        </w:rPr>
        <w:t>供应商名称：XXXX（单位公章）。</w:t>
      </w:r>
    </w:p>
    <w:p>
      <w:pPr>
        <w:widowControl/>
        <w:shd w:val="clear"/>
        <w:spacing w:line="360" w:lineRule="atLeast"/>
        <w:jc w:val="left"/>
        <w:outlineLvl w:val="1"/>
        <w:rPr>
          <w:rFonts w:hAnsi="宋体"/>
          <w:b/>
          <w:bCs/>
          <w:color w:val="auto"/>
          <w:sz w:val="24"/>
          <w:highlight w:val="none"/>
        </w:rPr>
      </w:pPr>
      <w:r>
        <w:rPr>
          <w:rFonts w:hint="eastAsia" w:hAnsi="宋体"/>
          <w:b/>
          <w:bCs/>
          <w:color w:val="auto"/>
          <w:sz w:val="24"/>
          <w:highlight w:val="none"/>
        </w:rPr>
        <w:t>法定代表人/单位负责人或授权代表（签字或加盖个人名章）：XXXX。</w:t>
      </w:r>
    </w:p>
    <w:p>
      <w:pPr>
        <w:widowControl/>
        <w:shd w:val="clear"/>
        <w:spacing w:line="360" w:lineRule="atLeast"/>
        <w:jc w:val="left"/>
        <w:outlineLvl w:val="1"/>
        <w:rPr>
          <w:rFonts w:hint="eastAsia" w:hAnsi="宋体"/>
          <w:b/>
          <w:bCs/>
          <w:color w:val="auto"/>
          <w:sz w:val="24"/>
          <w:highlight w:val="none"/>
        </w:rPr>
        <w:sectPr>
          <w:headerReference r:id="rId12" w:type="first"/>
          <w:footerReference r:id="rId14" w:type="first"/>
          <w:headerReference r:id="rId11" w:type="default"/>
          <w:footerReference r:id="rId13" w:type="default"/>
          <w:pgSz w:w="16838" w:h="11906" w:orient="landscape"/>
          <w:pgMar w:top="1134" w:right="1400" w:bottom="850" w:left="1088" w:header="0" w:footer="595" w:gutter="0"/>
          <w:cols w:space="720" w:num="1"/>
          <w:titlePg/>
          <w:docGrid w:type="lines" w:linePitch="472" w:charSpace="0"/>
        </w:sectPr>
      </w:pPr>
      <w:r>
        <w:rPr>
          <w:rFonts w:hint="eastAsia" w:hAnsi="宋体" w:cs="宋体"/>
          <w:b/>
          <w:bCs/>
          <w:color w:val="auto"/>
          <w:sz w:val="24"/>
          <w:szCs w:val="24"/>
          <w:highlight w:val="none"/>
        </w:rPr>
        <w:t>参选</w:t>
      </w:r>
      <w:r>
        <w:rPr>
          <w:rFonts w:hint="eastAsia" w:hAnsi="宋体"/>
          <w:b/>
          <w:bCs/>
          <w:color w:val="auto"/>
          <w:sz w:val="24"/>
          <w:highlight w:val="none"/>
        </w:rPr>
        <w:t>日期：年  月  日</w:t>
      </w:r>
    </w:p>
    <w:p>
      <w:pPr>
        <w:pStyle w:val="3"/>
        <w:spacing w:line="400" w:lineRule="exact"/>
        <w:ind w:right="537" w:rightChars="158"/>
        <w:jc w:val="center"/>
        <w:rPr>
          <w:rFonts w:ascii="宋体" w:hAnsi="宋体" w:eastAsia="宋体" w:cs="宋体"/>
          <w:color w:val="auto"/>
        </w:rPr>
      </w:pPr>
      <w:r>
        <w:rPr>
          <w:rFonts w:hint="eastAsia" w:ascii="宋体" w:hAnsi="宋体" w:eastAsia="宋体" w:cs="宋体"/>
          <w:color w:val="auto"/>
        </w:rPr>
        <w:t>二、参选函</w:t>
      </w:r>
    </w:p>
    <w:p>
      <w:pPr>
        <w:pStyle w:val="23"/>
        <w:spacing w:line="400" w:lineRule="exact"/>
        <w:ind w:firstLine="0"/>
        <w:rPr>
          <w:rFonts w:hAnsi="宋体" w:cs="宋体"/>
          <w:color w:val="auto"/>
          <w:sz w:val="24"/>
        </w:rPr>
      </w:pPr>
      <w:r>
        <w:rPr>
          <w:rFonts w:hint="eastAsia" w:hAnsi="宋体" w:cs="宋体"/>
          <w:color w:val="auto"/>
          <w:sz w:val="24"/>
          <w:lang w:eastAsia="zh-CN"/>
        </w:rPr>
        <w:t>古蔺县中医医院</w:t>
      </w:r>
      <w:r>
        <w:rPr>
          <w:rFonts w:hint="eastAsia" w:hAnsi="宋体" w:cs="宋体"/>
          <w:color w:val="auto"/>
          <w:sz w:val="24"/>
        </w:rPr>
        <w:t>：</w:t>
      </w:r>
    </w:p>
    <w:p>
      <w:pPr>
        <w:pStyle w:val="23"/>
        <w:wordWrap w:val="0"/>
        <w:spacing w:line="400" w:lineRule="exact"/>
        <w:ind w:firstLine="480" w:firstLineChars="200"/>
        <w:rPr>
          <w:rFonts w:hAnsi="宋体" w:cs="宋体"/>
          <w:color w:val="auto"/>
          <w:sz w:val="24"/>
        </w:rPr>
      </w:pPr>
      <w:r>
        <w:rPr>
          <w:rFonts w:hint="eastAsia" w:hAnsi="宋体" w:cs="宋体"/>
          <w:color w:val="auto"/>
          <w:sz w:val="24"/>
        </w:rPr>
        <w:t>我方全面研究了 “</w:t>
      </w:r>
      <w:r>
        <w:rPr>
          <w:rFonts w:hint="eastAsia" w:hAnsi="宋体" w:cs="宋体"/>
          <w:color w:val="auto"/>
          <w:sz w:val="24"/>
          <w:u w:val="single"/>
        </w:rPr>
        <w:t xml:space="preserve">                </w:t>
      </w:r>
      <w:r>
        <w:rPr>
          <w:rFonts w:hint="eastAsia" w:hAnsi="宋体" w:cs="宋体"/>
          <w:color w:val="auto"/>
          <w:sz w:val="24"/>
        </w:rPr>
        <w:t>项目比选文件”，决定参加贵单位组织的本项目参选。我方授权</w:t>
      </w:r>
      <w:r>
        <w:rPr>
          <w:rFonts w:hint="eastAsia" w:hAnsi="宋体" w:cs="宋体"/>
          <w:color w:val="auto"/>
          <w:sz w:val="24"/>
          <w:u w:val="single"/>
        </w:rPr>
        <w:t xml:space="preserve">            </w:t>
      </w:r>
      <w:r>
        <w:rPr>
          <w:rFonts w:hint="eastAsia" w:hAnsi="宋体" w:cs="宋体"/>
          <w:color w:val="auto"/>
          <w:sz w:val="24"/>
        </w:rPr>
        <w:t>（姓名、职务)代表我方</w:t>
      </w:r>
      <w:r>
        <w:rPr>
          <w:rFonts w:hint="eastAsia" w:hAnsi="宋体" w:cs="宋体"/>
          <w:color w:val="auto"/>
          <w:sz w:val="24"/>
          <w:u w:val="single"/>
        </w:rPr>
        <w:t xml:space="preserve">            </w:t>
      </w:r>
      <w:r>
        <w:rPr>
          <w:rFonts w:hint="eastAsia" w:hAnsi="宋体" w:cs="宋体"/>
          <w:color w:val="auto"/>
          <w:sz w:val="24"/>
        </w:rPr>
        <w:t>（参选单位的名称)全权处理本项目参选的有关事宜。</w:t>
      </w:r>
    </w:p>
    <w:p>
      <w:pPr>
        <w:pStyle w:val="23"/>
        <w:wordWrap w:val="0"/>
        <w:spacing w:line="400" w:lineRule="exact"/>
        <w:ind w:firstLine="480" w:firstLineChars="200"/>
        <w:rPr>
          <w:rFonts w:hAnsi="宋体" w:cs="宋体"/>
          <w:color w:val="auto"/>
          <w:sz w:val="24"/>
        </w:rPr>
      </w:pPr>
      <w:r>
        <w:rPr>
          <w:rFonts w:hint="eastAsia" w:hAnsi="宋体" w:cs="宋体"/>
          <w:color w:val="auto"/>
          <w:sz w:val="24"/>
        </w:rPr>
        <w:t>1、我方自愿按照比选文件规定的各项要求向比选人提供所需货物和服务。</w:t>
      </w:r>
    </w:p>
    <w:p>
      <w:pPr>
        <w:pStyle w:val="23"/>
        <w:spacing w:line="400" w:lineRule="exact"/>
        <w:ind w:firstLine="480" w:firstLineChars="200"/>
        <w:rPr>
          <w:rFonts w:hAnsi="宋体" w:cs="宋体"/>
          <w:color w:val="auto"/>
          <w:sz w:val="24"/>
        </w:rPr>
      </w:pPr>
      <w:r>
        <w:rPr>
          <w:rFonts w:hint="eastAsia" w:hAnsi="宋体" w:cs="宋体"/>
          <w:color w:val="auto"/>
          <w:sz w:val="24"/>
        </w:rPr>
        <w:t>2、一旦我方成交，我方将严格履行合同规定的责任和义务，保证完成项目合同约定的内容。并交付比选人验收、使用。</w:t>
      </w:r>
    </w:p>
    <w:p>
      <w:pPr>
        <w:pStyle w:val="23"/>
        <w:spacing w:line="400" w:lineRule="exact"/>
        <w:ind w:firstLine="480" w:firstLineChars="200"/>
        <w:rPr>
          <w:rFonts w:hAnsi="宋体" w:cs="宋体"/>
          <w:color w:val="auto"/>
          <w:sz w:val="24"/>
        </w:rPr>
      </w:pPr>
      <w:r>
        <w:rPr>
          <w:rFonts w:hint="eastAsia" w:hAnsi="宋体" w:cs="宋体"/>
          <w:color w:val="auto"/>
          <w:sz w:val="24"/>
        </w:rPr>
        <w:t>3、我方同意按照比选文件的要求，承诺：下列任何情况发生时，我方将视为无效参选处理：</w:t>
      </w:r>
    </w:p>
    <w:p>
      <w:pPr>
        <w:pStyle w:val="23"/>
        <w:spacing w:line="400" w:lineRule="exact"/>
        <w:ind w:firstLine="480" w:firstLineChars="200"/>
        <w:rPr>
          <w:rFonts w:hAnsi="宋体" w:cs="宋体"/>
          <w:color w:val="auto"/>
          <w:sz w:val="24"/>
        </w:rPr>
      </w:pPr>
      <w:r>
        <w:rPr>
          <w:rFonts w:hint="eastAsia" w:hAnsi="宋体" w:cs="宋体"/>
          <w:color w:val="auto"/>
          <w:sz w:val="24"/>
        </w:rPr>
        <w:t>（1)我方提供了虚假响应比选文件的参选文件；</w:t>
      </w:r>
    </w:p>
    <w:p>
      <w:pPr>
        <w:pStyle w:val="23"/>
        <w:spacing w:line="400" w:lineRule="exact"/>
        <w:ind w:firstLine="480" w:firstLineChars="200"/>
        <w:rPr>
          <w:rFonts w:hAnsi="宋体" w:cs="宋体"/>
          <w:color w:val="auto"/>
          <w:sz w:val="24"/>
        </w:rPr>
      </w:pPr>
      <w:r>
        <w:rPr>
          <w:rFonts w:hint="eastAsia" w:hAnsi="宋体" w:cs="宋体"/>
          <w:color w:val="auto"/>
          <w:sz w:val="24"/>
        </w:rPr>
        <w:t>（2)在参选过程中有违规违纪行为；</w:t>
      </w:r>
    </w:p>
    <w:p>
      <w:pPr>
        <w:pStyle w:val="23"/>
        <w:spacing w:line="400" w:lineRule="exact"/>
        <w:ind w:firstLine="480" w:firstLineChars="200"/>
        <w:rPr>
          <w:rFonts w:hAnsi="宋体" w:cs="宋体"/>
          <w:color w:val="auto"/>
          <w:sz w:val="24"/>
        </w:rPr>
      </w:pPr>
      <w:r>
        <w:rPr>
          <w:rFonts w:hint="eastAsia" w:hAnsi="宋体" w:cs="宋体"/>
          <w:color w:val="auto"/>
          <w:sz w:val="24"/>
        </w:rPr>
        <w:t>（3)我方在参选有效期内收到成交通知书后，由于我方原因未能按照比选文件要求与比选人签订并履行合同。</w:t>
      </w:r>
    </w:p>
    <w:p>
      <w:pPr>
        <w:pStyle w:val="23"/>
        <w:spacing w:line="400" w:lineRule="exact"/>
        <w:ind w:firstLine="480" w:firstLineChars="200"/>
        <w:rPr>
          <w:rFonts w:hAnsi="宋体" w:cs="宋体"/>
          <w:color w:val="auto"/>
          <w:sz w:val="24"/>
        </w:rPr>
      </w:pPr>
      <w:r>
        <w:rPr>
          <w:rFonts w:hint="eastAsia" w:hAnsi="宋体" w:cs="宋体"/>
          <w:color w:val="auto"/>
          <w:sz w:val="24"/>
        </w:rPr>
        <w:t>4、我方为本项目提交的参选文件正本1份</w:t>
      </w:r>
      <w:r>
        <w:rPr>
          <w:rFonts w:hint="eastAsia" w:hAnsi="宋体" w:cs="宋体"/>
          <w:color w:val="auto"/>
          <w:sz w:val="24"/>
          <w:lang w:eastAsia="zh-CN"/>
        </w:rPr>
        <w:t>，</w:t>
      </w:r>
      <w:r>
        <w:rPr>
          <w:rFonts w:hint="eastAsia" w:hAnsi="宋体" w:cs="宋体"/>
          <w:color w:val="auto"/>
          <w:sz w:val="24"/>
          <w:lang w:val="en-US" w:eastAsia="zh-CN"/>
        </w:rPr>
        <w:t>副本2份，电子文档1份（U盘制作）</w:t>
      </w:r>
      <w:r>
        <w:rPr>
          <w:rFonts w:hint="eastAsia" w:hAnsi="宋体" w:cs="宋体"/>
          <w:color w:val="auto"/>
          <w:sz w:val="24"/>
        </w:rPr>
        <w:t>。</w:t>
      </w:r>
    </w:p>
    <w:p>
      <w:pPr>
        <w:pStyle w:val="23"/>
        <w:spacing w:line="400" w:lineRule="exact"/>
        <w:ind w:firstLine="480" w:firstLineChars="200"/>
        <w:rPr>
          <w:rFonts w:hAnsi="宋体" w:cs="宋体"/>
          <w:color w:val="auto"/>
          <w:sz w:val="24"/>
        </w:rPr>
      </w:pPr>
      <w:r>
        <w:rPr>
          <w:rFonts w:hint="eastAsia" w:hAnsi="宋体" w:cs="宋体"/>
          <w:color w:val="auto"/>
          <w:sz w:val="24"/>
        </w:rPr>
        <w:t>5、我方愿意提供贵公司可能另外要求的，与参选有关的文件资料，并保证我方已提供和将要提供的文件资料是真实、准确的。</w:t>
      </w:r>
    </w:p>
    <w:p>
      <w:pPr>
        <w:pStyle w:val="23"/>
        <w:spacing w:line="400" w:lineRule="exact"/>
        <w:ind w:firstLine="480" w:firstLineChars="200"/>
        <w:rPr>
          <w:rFonts w:hAnsi="宋体" w:cs="宋体"/>
          <w:color w:val="auto"/>
          <w:sz w:val="24"/>
          <w:szCs w:val="22"/>
        </w:rPr>
      </w:pPr>
      <w:r>
        <w:rPr>
          <w:rFonts w:hint="eastAsia" w:hAnsi="宋体" w:cs="宋体"/>
          <w:color w:val="auto"/>
          <w:sz w:val="24"/>
        </w:rPr>
        <w:t>6、我方承诺，所投产品满足采购文件中的技术要求，如虚假响应，自愿承担相关法律责任</w:t>
      </w:r>
      <w:r>
        <w:rPr>
          <w:rFonts w:hint="eastAsia" w:hAnsi="宋体" w:cs="宋体"/>
          <w:color w:val="auto"/>
          <w:sz w:val="24"/>
          <w:szCs w:val="22"/>
          <w:lang w:val="zh-CN"/>
        </w:rPr>
        <w:t>。</w:t>
      </w:r>
    </w:p>
    <w:p>
      <w:pPr>
        <w:pStyle w:val="23"/>
        <w:spacing w:line="400" w:lineRule="exact"/>
        <w:ind w:firstLine="480" w:firstLineChars="200"/>
        <w:rPr>
          <w:rFonts w:hAnsi="宋体" w:cs="宋体"/>
          <w:color w:val="auto"/>
          <w:sz w:val="24"/>
          <w:szCs w:val="22"/>
        </w:rPr>
      </w:pPr>
      <w:r>
        <w:rPr>
          <w:rFonts w:hint="eastAsia" w:hAnsi="宋体" w:cs="宋体"/>
          <w:color w:val="auto"/>
          <w:sz w:val="24"/>
        </w:rPr>
        <w:t>7、我方承诺：我司满足采购文件中的商务要求，如虚假响应，自愿承担相关法律责任</w:t>
      </w:r>
      <w:r>
        <w:rPr>
          <w:rFonts w:hint="eastAsia" w:hAnsi="宋体" w:cs="宋体"/>
          <w:color w:val="auto"/>
          <w:sz w:val="24"/>
          <w:szCs w:val="22"/>
          <w:lang w:val="zh-CN"/>
        </w:rPr>
        <w:t>。</w:t>
      </w:r>
    </w:p>
    <w:p>
      <w:pPr>
        <w:pStyle w:val="23"/>
        <w:spacing w:line="400" w:lineRule="exact"/>
        <w:ind w:firstLine="480" w:firstLineChars="200"/>
        <w:rPr>
          <w:rFonts w:hAnsi="宋体" w:cs="宋体"/>
          <w:color w:val="auto"/>
          <w:sz w:val="24"/>
        </w:rPr>
      </w:pPr>
    </w:p>
    <w:p>
      <w:pPr>
        <w:pStyle w:val="23"/>
        <w:spacing w:line="400" w:lineRule="exact"/>
        <w:ind w:firstLine="0"/>
        <w:rPr>
          <w:rFonts w:hAnsi="宋体" w:cs="宋体"/>
          <w:color w:val="auto"/>
          <w:sz w:val="24"/>
        </w:rPr>
      </w:pPr>
    </w:p>
    <w:p>
      <w:pPr>
        <w:pStyle w:val="23"/>
        <w:spacing w:line="400" w:lineRule="exact"/>
        <w:ind w:firstLine="480" w:firstLineChars="200"/>
        <w:rPr>
          <w:rFonts w:hAnsi="宋体" w:cs="宋体"/>
          <w:color w:val="auto"/>
          <w:sz w:val="24"/>
        </w:rPr>
      </w:pPr>
      <w:r>
        <w:rPr>
          <w:rFonts w:hint="eastAsia" w:hAnsi="宋体" w:cs="宋体"/>
          <w:color w:val="auto"/>
          <w:sz w:val="24"/>
        </w:rPr>
        <w:t>供应商名称：        （盖章)</w:t>
      </w:r>
    </w:p>
    <w:p>
      <w:pPr>
        <w:pStyle w:val="23"/>
        <w:spacing w:line="400" w:lineRule="exact"/>
        <w:ind w:firstLine="480" w:firstLineChars="200"/>
        <w:rPr>
          <w:rFonts w:hAnsi="宋体" w:cs="宋体"/>
          <w:color w:val="auto"/>
          <w:sz w:val="24"/>
        </w:rPr>
      </w:pPr>
      <w:r>
        <w:rPr>
          <w:rFonts w:hint="eastAsia" w:hAnsi="宋体" w:cs="宋体"/>
          <w:color w:val="auto"/>
          <w:sz w:val="24"/>
        </w:rPr>
        <w:t>法定代表人或授权代表（签字或盖章)：</w:t>
      </w:r>
    </w:p>
    <w:p>
      <w:pPr>
        <w:pStyle w:val="23"/>
        <w:spacing w:line="400" w:lineRule="exact"/>
        <w:ind w:firstLine="480" w:firstLineChars="200"/>
        <w:rPr>
          <w:rFonts w:hAnsi="宋体" w:cs="宋体"/>
          <w:color w:val="auto"/>
          <w:sz w:val="24"/>
        </w:rPr>
      </w:pPr>
      <w:r>
        <w:rPr>
          <w:rFonts w:hint="eastAsia" w:hAnsi="宋体" w:cs="宋体"/>
          <w:color w:val="auto"/>
          <w:sz w:val="24"/>
        </w:rPr>
        <w:t>通讯地址：</w:t>
      </w:r>
    </w:p>
    <w:p>
      <w:pPr>
        <w:pStyle w:val="23"/>
        <w:spacing w:line="400" w:lineRule="exact"/>
        <w:ind w:firstLine="480" w:firstLineChars="200"/>
        <w:rPr>
          <w:rFonts w:hAnsi="宋体" w:cs="宋体"/>
          <w:color w:val="auto"/>
          <w:sz w:val="24"/>
        </w:rPr>
      </w:pPr>
      <w:r>
        <w:rPr>
          <w:rFonts w:hint="eastAsia" w:hAnsi="宋体" w:cs="宋体"/>
          <w:color w:val="auto"/>
          <w:sz w:val="24"/>
        </w:rPr>
        <w:t>邮政编码：</w:t>
      </w:r>
    </w:p>
    <w:p>
      <w:pPr>
        <w:pStyle w:val="23"/>
        <w:spacing w:line="400" w:lineRule="exact"/>
        <w:ind w:firstLine="480" w:firstLineChars="200"/>
        <w:rPr>
          <w:rFonts w:hAnsi="宋体" w:cs="宋体"/>
          <w:color w:val="auto"/>
          <w:sz w:val="24"/>
        </w:rPr>
      </w:pPr>
      <w:r>
        <w:rPr>
          <w:rFonts w:hint="eastAsia" w:hAnsi="宋体" w:cs="宋体"/>
          <w:color w:val="auto"/>
          <w:sz w:val="24"/>
        </w:rPr>
        <w:t>联系电话：</w:t>
      </w:r>
    </w:p>
    <w:p>
      <w:pPr>
        <w:pStyle w:val="23"/>
        <w:spacing w:line="400" w:lineRule="exact"/>
        <w:ind w:firstLine="480" w:firstLineChars="200"/>
        <w:rPr>
          <w:rFonts w:hAnsi="宋体" w:cs="宋体"/>
          <w:color w:val="auto"/>
          <w:sz w:val="24"/>
        </w:rPr>
      </w:pPr>
      <w:r>
        <w:rPr>
          <w:rFonts w:hint="eastAsia" w:hAnsi="宋体" w:cs="宋体"/>
          <w:color w:val="auto"/>
          <w:sz w:val="24"/>
        </w:rPr>
        <w:t>传    真：</w:t>
      </w:r>
    </w:p>
    <w:p>
      <w:pPr>
        <w:pStyle w:val="23"/>
        <w:spacing w:line="400" w:lineRule="exact"/>
        <w:ind w:firstLine="480" w:firstLineChars="200"/>
        <w:rPr>
          <w:rFonts w:hAnsi="宋体" w:cs="宋体"/>
          <w:color w:val="auto"/>
          <w:sz w:val="24"/>
        </w:rPr>
      </w:pPr>
      <w:r>
        <w:rPr>
          <w:rFonts w:hint="eastAsia" w:hAnsi="宋体" w:cs="宋体"/>
          <w:color w:val="auto"/>
          <w:sz w:val="24"/>
        </w:rPr>
        <w:t>日    期：</w:t>
      </w:r>
    </w:p>
    <w:p>
      <w:pPr>
        <w:pStyle w:val="3"/>
        <w:spacing w:line="400" w:lineRule="exact"/>
        <w:ind w:left="581" w:leftChars="171" w:right="537" w:rightChars="158"/>
        <w:jc w:val="center"/>
        <w:rPr>
          <w:rFonts w:ascii="宋体" w:hAnsi="宋体" w:eastAsia="宋体" w:cs="宋体"/>
          <w:bCs/>
          <w:color w:val="auto"/>
          <w:szCs w:val="28"/>
        </w:rPr>
      </w:pPr>
      <w:bookmarkStart w:id="141" w:name="_Toc217446083"/>
      <w:bookmarkStart w:id="142" w:name="_Toc331850054"/>
      <w:bookmarkStart w:id="143" w:name="_Toc307501127"/>
      <w:bookmarkStart w:id="144" w:name="_Toc307564872"/>
      <w:bookmarkStart w:id="145" w:name="_Toc331160566"/>
      <w:r>
        <w:rPr>
          <w:rFonts w:hint="eastAsia" w:ascii="宋体" w:hAnsi="宋体" w:eastAsia="宋体" w:cs="宋体"/>
          <w:color w:val="auto"/>
          <w:szCs w:val="28"/>
        </w:rPr>
        <w:br w:type="page"/>
      </w:r>
      <w:r>
        <w:rPr>
          <w:rFonts w:hint="eastAsia" w:ascii="宋体" w:hAnsi="宋体" w:eastAsia="宋体" w:cs="宋体"/>
          <w:bCs/>
          <w:color w:val="auto"/>
          <w:szCs w:val="28"/>
        </w:rPr>
        <w:t>三、供应商资格条件相关证明材料</w:t>
      </w:r>
    </w:p>
    <w:p>
      <w:pPr>
        <w:pStyle w:val="3"/>
        <w:spacing w:line="400" w:lineRule="exact"/>
        <w:ind w:right="537" w:rightChars="158"/>
        <w:rPr>
          <w:rFonts w:ascii="宋体" w:hAnsi="宋体" w:cs="宋体"/>
          <w:b w:val="0"/>
          <w:bCs/>
          <w:color w:val="auto"/>
          <w:sz w:val="24"/>
          <w:szCs w:val="24"/>
        </w:rPr>
      </w:pPr>
      <w:r>
        <w:rPr>
          <w:rFonts w:hint="eastAsia" w:ascii="宋体" w:hAnsi="宋体" w:eastAsia="宋体" w:cs="宋体"/>
          <w:color w:val="auto"/>
          <w:sz w:val="24"/>
          <w:szCs w:val="24"/>
        </w:rPr>
        <w:t>一）、</w:t>
      </w:r>
      <w:r>
        <w:rPr>
          <w:rFonts w:hint="eastAsia" w:hAnsi="宋体"/>
          <w:bCs/>
          <w:color w:val="auto"/>
          <w:sz w:val="24"/>
          <w:szCs w:val="22"/>
        </w:rPr>
        <w:t>具有独立承担民事责任能力</w:t>
      </w:r>
      <w:r>
        <w:rPr>
          <w:rFonts w:hint="eastAsia" w:ascii="宋体" w:hAnsi="宋体" w:cs="宋体"/>
          <w:b w:val="0"/>
          <w:bCs/>
          <w:color w:val="auto"/>
          <w:sz w:val="24"/>
          <w:szCs w:val="24"/>
        </w:rPr>
        <w:t xml:space="preserve">； </w:t>
      </w:r>
    </w:p>
    <w:p>
      <w:pPr>
        <w:rPr>
          <w:rFonts w:hAnsi="宋体" w:cs="宋体"/>
          <w:b/>
          <w:bCs/>
          <w:color w:val="auto"/>
          <w:sz w:val="24"/>
        </w:rPr>
      </w:pPr>
      <w:r>
        <w:rPr>
          <w:rFonts w:hint="eastAsia" w:hAnsi="宋体" w:cs="宋体"/>
          <w:b/>
          <w:bCs/>
          <w:color w:val="auto"/>
          <w:sz w:val="24"/>
        </w:rPr>
        <w:br w:type="page"/>
      </w:r>
    </w:p>
    <w:p>
      <w:pPr>
        <w:pStyle w:val="84"/>
        <w:ind w:firstLine="0" w:firstLineChars="0"/>
        <w:rPr>
          <w:rFonts w:ascii="宋体" w:hAnsi="宋体" w:cs="宋体"/>
          <w:b/>
          <w:bCs/>
          <w:color w:val="auto"/>
          <w:sz w:val="24"/>
        </w:rPr>
      </w:pPr>
      <w:r>
        <w:rPr>
          <w:rFonts w:hint="eastAsia" w:ascii="宋体" w:hAnsi="宋体" w:cs="宋体"/>
          <w:b/>
          <w:bCs/>
          <w:color w:val="auto"/>
          <w:sz w:val="24"/>
        </w:rPr>
        <w:t>二）、资格条件中要求的所有承诺函，格式如下：</w:t>
      </w:r>
    </w:p>
    <w:tbl>
      <w:tblPr>
        <w:tblStyle w:val="37"/>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tcPr>
          <w:p>
            <w:pPr>
              <w:widowControl/>
              <w:jc w:val="center"/>
              <w:rPr>
                <w:rFonts w:hAnsi="宋体" w:cs="宋体"/>
                <w:b/>
                <w:bCs/>
                <w:color w:val="auto"/>
                <w:kern w:val="2"/>
                <w:sz w:val="36"/>
                <w:szCs w:val="36"/>
              </w:rPr>
            </w:pPr>
            <w:r>
              <w:rPr>
                <w:rFonts w:hint="eastAsia" w:hAnsi="宋体" w:cs="宋体"/>
                <w:b/>
                <w:bCs/>
                <w:color w:val="auto"/>
                <w:kern w:val="2"/>
                <w:sz w:val="36"/>
                <w:szCs w:val="36"/>
              </w:rPr>
              <w:t>承诺函</w:t>
            </w:r>
          </w:p>
          <w:p>
            <w:pPr>
              <w:widowControl/>
              <w:jc w:val="left"/>
              <w:rPr>
                <w:rFonts w:hint="eastAsia" w:hAnsi="宋体" w:eastAsia="宋体" w:cs="宋体"/>
                <w:bCs/>
                <w:color w:val="auto"/>
                <w:kern w:val="2"/>
                <w:sz w:val="24"/>
                <w:szCs w:val="24"/>
                <w:lang w:eastAsia="zh-CN"/>
              </w:rPr>
            </w:pPr>
            <w:r>
              <w:rPr>
                <w:rFonts w:hint="eastAsia" w:hAnsi="宋体" w:cs="宋体"/>
                <w:bCs/>
                <w:color w:val="auto"/>
                <w:kern w:val="2"/>
                <w:sz w:val="24"/>
                <w:szCs w:val="24"/>
              </w:rPr>
              <w:t>致：</w:t>
            </w:r>
            <w:r>
              <w:rPr>
                <w:rFonts w:hint="eastAsia" w:ascii="仿宋" w:hAnsi="仿宋" w:eastAsia="仿宋" w:cs="仿宋"/>
                <w:b/>
                <w:bCs/>
                <w:color w:val="auto"/>
                <w:sz w:val="24"/>
                <w:u w:val="single"/>
                <w:lang w:eastAsia="zh-CN"/>
              </w:rPr>
              <w:t>古蔺县中医医院</w:t>
            </w:r>
          </w:p>
          <w:p>
            <w:pPr>
              <w:widowControl/>
              <w:ind w:firstLine="480" w:firstLineChars="200"/>
              <w:jc w:val="left"/>
              <w:rPr>
                <w:rFonts w:hAnsi="宋体" w:cs="宋体"/>
                <w:bCs/>
                <w:color w:val="auto"/>
                <w:kern w:val="2"/>
                <w:sz w:val="24"/>
                <w:szCs w:val="24"/>
              </w:rPr>
            </w:pPr>
            <w:r>
              <w:rPr>
                <w:rFonts w:hint="eastAsia" w:hAnsi="宋体" w:cs="宋体"/>
                <w:bCs/>
                <w:color w:val="auto"/>
                <w:kern w:val="2"/>
                <w:sz w:val="24"/>
                <w:szCs w:val="24"/>
              </w:rPr>
              <w:t>本公司（公司名称）参加（项目名称）（项目编号：）的参选活动，现承诺我公司：</w:t>
            </w:r>
          </w:p>
          <w:p>
            <w:pPr>
              <w:widowControl/>
              <w:jc w:val="left"/>
              <w:rPr>
                <w:rFonts w:hAnsi="宋体" w:cs="宋体"/>
                <w:bCs/>
                <w:color w:val="auto"/>
                <w:kern w:val="2"/>
                <w:sz w:val="24"/>
                <w:szCs w:val="24"/>
              </w:rPr>
            </w:pPr>
            <w:r>
              <w:rPr>
                <w:rFonts w:hint="eastAsia" w:hAnsi="宋体" w:cs="宋体"/>
                <w:bCs/>
                <w:color w:val="auto"/>
                <w:kern w:val="2"/>
                <w:sz w:val="24"/>
                <w:szCs w:val="24"/>
              </w:rPr>
              <w:t xml:space="preserve">（一）具有独立承担民事责任的能力； </w:t>
            </w:r>
          </w:p>
          <w:p>
            <w:pPr>
              <w:widowControl/>
              <w:jc w:val="left"/>
              <w:rPr>
                <w:rFonts w:hAnsi="宋体" w:cs="宋体"/>
                <w:bCs/>
                <w:color w:val="auto"/>
                <w:kern w:val="2"/>
                <w:sz w:val="24"/>
                <w:szCs w:val="24"/>
              </w:rPr>
            </w:pPr>
            <w:r>
              <w:rPr>
                <w:rFonts w:hint="eastAsia" w:hAnsi="宋体" w:cs="宋体"/>
                <w:bCs/>
                <w:color w:val="auto"/>
                <w:kern w:val="2"/>
                <w:sz w:val="24"/>
                <w:szCs w:val="24"/>
              </w:rPr>
              <w:t xml:space="preserve">（二）具有良好的商业信誉和健全的财务会计制度； </w:t>
            </w:r>
          </w:p>
          <w:p>
            <w:pPr>
              <w:widowControl/>
              <w:jc w:val="left"/>
              <w:rPr>
                <w:rFonts w:hAnsi="宋体" w:cs="宋体"/>
                <w:bCs/>
                <w:color w:val="auto"/>
                <w:kern w:val="2"/>
                <w:sz w:val="24"/>
                <w:szCs w:val="24"/>
              </w:rPr>
            </w:pPr>
            <w:r>
              <w:rPr>
                <w:rFonts w:hint="eastAsia" w:hAnsi="宋体" w:cs="宋体"/>
                <w:bCs/>
                <w:color w:val="auto"/>
                <w:kern w:val="2"/>
                <w:sz w:val="24"/>
                <w:szCs w:val="24"/>
              </w:rPr>
              <w:t xml:space="preserve">（三）具有履行合同所必需的设备和专业技术能力； </w:t>
            </w:r>
          </w:p>
          <w:p>
            <w:pPr>
              <w:widowControl/>
              <w:jc w:val="left"/>
              <w:rPr>
                <w:rFonts w:hAnsi="宋体" w:cs="宋体"/>
                <w:bCs/>
                <w:color w:val="auto"/>
                <w:kern w:val="2"/>
                <w:sz w:val="24"/>
                <w:szCs w:val="24"/>
              </w:rPr>
            </w:pPr>
            <w:r>
              <w:rPr>
                <w:rFonts w:hint="eastAsia" w:hAnsi="宋体" w:cs="宋体"/>
                <w:bCs/>
                <w:color w:val="auto"/>
                <w:kern w:val="2"/>
                <w:sz w:val="24"/>
                <w:szCs w:val="24"/>
              </w:rPr>
              <w:t xml:space="preserve">（四）有依法缴纳税收和社会保障资金的良好记录； </w:t>
            </w:r>
          </w:p>
          <w:p>
            <w:pPr>
              <w:widowControl/>
              <w:jc w:val="left"/>
              <w:rPr>
                <w:rFonts w:hAnsi="宋体" w:cs="宋体"/>
                <w:bCs/>
                <w:color w:val="auto"/>
                <w:kern w:val="2"/>
                <w:sz w:val="24"/>
                <w:szCs w:val="24"/>
              </w:rPr>
            </w:pPr>
            <w:r>
              <w:rPr>
                <w:rFonts w:hint="eastAsia" w:hAnsi="宋体" w:cs="宋体"/>
                <w:bCs/>
                <w:color w:val="auto"/>
                <w:kern w:val="2"/>
                <w:sz w:val="24"/>
                <w:szCs w:val="24"/>
              </w:rPr>
              <w:t>（五）参加采购活动前三年内，在经营活动中没有重大违法记录；</w:t>
            </w:r>
          </w:p>
          <w:p>
            <w:pPr>
              <w:widowControl/>
              <w:jc w:val="left"/>
              <w:rPr>
                <w:rFonts w:hAnsi="宋体" w:cs="宋体"/>
                <w:bCs/>
                <w:color w:val="auto"/>
                <w:kern w:val="2"/>
                <w:sz w:val="24"/>
                <w:szCs w:val="24"/>
              </w:rPr>
            </w:pPr>
            <w:r>
              <w:rPr>
                <w:rFonts w:hint="eastAsia" w:hAnsi="宋体" w:cs="宋体"/>
                <w:bCs/>
                <w:color w:val="auto"/>
                <w:kern w:val="2"/>
                <w:sz w:val="24"/>
                <w:szCs w:val="24"/>
              </w:rPr>
              <w:t>（六）</w:t>
            </w:r>
            <w:r>
              <w:rPr>
                <w:rFonts w:hint="eastAsia" w:hAnsi="宋体"/>
                <w:bCs/>
                <w:color w:val="auto"/>
                <w:sz w:val="24"/>
                <w:szCs w:val="22"/>
              </w:rPr>
              <w:t>符合法律、</w:t>
            </w:r>
            <w:r>
              <w:rPr>
                <w:color w:val="auto"/>
              </w:rPr>
              <w:fldChar w:fldCharType="begin"/>
            </w:r>
            <w:r>
              <w:rPr>
                <w:color w:val="auto"/>
              </w:rPr>
              <w:instrText xml:space="preserve"> HYPERLINK "http://www.lawtime.cn/info/sifakaoshi/xingzhengfa/" \t "_blank" </w:instrText>
            </w:r>
            <w:r>
              <w:rPr>
                <w:color w:val="auto"/>
              </w:rPr>
              <w:fldChar w:fldCharType="separate"/>
            </w:r>
            <w:r>
              <w:rPr>
                <w:rFonts w:hint="eastAsia" w:hAnsi="宋体"/>
                <w:bCs/>
                <w:color w:val="auto"/>
                <w:sz w:val="24"/>
                <w:szCs w:val="22"/>
              </w:rPr>
              <w:t>行政法</w:t>
            </w:r>
            <w:r>
              <w:rPr>
                <w:rFonts w:hint="eastAsia" w:hAnsi="宋体"/>
                <w:bCs/>
                <w:color w:val="auto"/>
                <w:sz w:val="24"/>
                <w:szCs w:val="22"/>
              </w:rPr>
              <w:fldChar w:fldCharType="end"/>
            </w:r>
            <w:r>
              <w:rPr>
                <w:rFonts w:hint="eastAsia" w:hAnsi="宋体"/>
                <w:bCs/>
                <w:color w:val="auto"/>
                <w:sz w:val="24"/>
                <w:szCs w:val="22"/>
              </w:rPr>
              <w:t>规规定的其他条件；</w:t>
            </w:r>
          </w:p>
          <w:p>
            <w:pPr>
              <w:widowControl/>
              <w:jc w:val="left"/>
              <w:rPr>
                <w:rFonts w:hAnsi="宋体" w:cs="宋体"/>
                <w:bCs/>
                <w:color w:val="auto"/>
                <w:kern w:val="2"/>
                <w:sz w:val="24"/>
                <w:szCs w:val="24"/>
              </w:rPr>
            </w:pPr>
            <w:r>
              <w:rPr>
                <w:rFonts w:hint="eastAsia" w:hAnsi="宋体" w:cs="宋体"/>
                <w:bCs/>
                <w:color w:val="auto"/>
                <w:kern w:val="2"/>
                <w:sz w:val="24"/>
                <w:szCs w:val="24"/>
              </w:rPr>
              <w:t>（七）参加本次比选的供应商与其他参与本项目供应商之间不存在单位负责人为同一人，供应商与供应商之间不存在直接控股和管理关系；</w:t>
            </w:r>
          </w:p>
          <w:p>
            <w:pPr>
              <w:widowControl/>
              <w:jc w:val="left"/>
              <w:rPr>
                <w:rFonts w:hAnsi="宋体" w:cs="宋体"/>
                <w:bCs/>
                <w:color w:val="auto"/>
                <w:kern w:val="2"/>
                <w:sz w:val="24"/>
                <w:szCs w:val="24"/>
              </w:rPr>
            </w:pPr>
            <w:r>
              <w:rPr>
                <w:rFonts w:hint="eastAsia" w:hAnsi="宋体" w:cs="宋体"/>
                <w:bCs/>
                <w:color w:val="auto"/>
                <w:kern w:val="2"/>
                <w:sz w:val="24"/>
                <w:szCs w:val="24"/>
              </w:rPr>
              <w:t>（八）我方承诺：我单位及其现任法定代表人、主要负责人不具有行贿犯罪记录；</w:t>
            </w:r>
          </w:p>
          <w:p>
            <w:pPr>
              <w:widowControl/>
              <w:jc w:val="left"/>
              <w:rPr>
                <w:rFonts w:hAnsi="宋体" w:cs="宋体"/>
                <w:bCs/>
                <w:color w:val="auto"/>
                <w:kern w:val="2"/>
                <w:sz w:val="24"/>
                <w:szCs w:val="24"/>
              </w:rPr>
            </w:pPr>
            <w:r>
              <w:rPr>
                <w:rFonts w:hint="eastAsia" w:hAnsi="宋体" w:cs="宋体"/>
                <w:bCs/>
                <w:color w:val="auto"/>
                <w:kern w:val="2"/>
                <w:sz w:val="24"/>
                <w:szCs w:val="24"/>
              </w:rPr>
              <w:t>（九）完全接受和满足本项目比选文件中规定的实质性要求（如低于成本价不正当竞争预防措施、国家规定的强制采购范围、投标费用、充分、公平竞争保障措施、响应文件的语言、计量单位、投标货币、联合体投标、知识产权、投标保证金、投标有效期、合同分包、合同转包、行贿犯罪相关要求等实质性要求），如对比选文件有异议，已依法进行维权救济，不存在对比选文件有异议的同时又参加比选以求侥幸成交或者为实现其他非法目的的行为。</w:t>
            </w:r>
          </w:p>
          <w:p>
            <w:pPr>
              <w:widowControl/>
              <w:ind w:firstLine="720" w:firstLineChars="300"/>
              <w:jc w:val="left"/>
              <w:rPr>
                <w:rFonts w:hAnsi="宋体" w:cs="宋体"/>
                <w:bCs/>
                <w:color w:val="auto"/>
                <w:kern w:val="2"/>
                <w:sz w:val="24"/>
                <w:szCs w:val="24"/>
              </w:rPr>
            </w:pPr>
            <w:r>
              <w:rPr>
                <w:rFonts w:hint="eastAsia" w:hAnsi="宋体" w:cs="宋体"/>
                <w:bCs/>
                <w:color w:val="auto"/>
                <w:kern w:val="2"/>
                <w:sz w:val="24"/>
                <w:szCs w:val="24"/>
              </w:rPr>
              <w:t>如违反以上承诺，本公司愿承担一切法律责任。</w:t>
            </w:r>
          </w:p>
          <w:p>
            <w:pPr>
              <w:widowControl/>
              <w:jc w:val="left"/>
              <w:rPr>
                <w:rFonts w:hAnsi="宋体" w:cs="宋体"/>
                <w:bCs/>
                <w:color w:val="auto"/>
                <w:kern w:val="2"/>
                <w:sz w:val="24"/>
                <w:szCs w:val="24"/>
              </w:rPr>
            </w:pPr>
          </w:p>
          <w:p>
            <w:pPr>
              <w:widowControl/>
              <w:jc w:val="left"/>
              <w:rPr>
                <w:rFonts w:hAnsi="宋体" w:cs="宋体"/>
                <w:bCs/>
                <w:color w:val="auto"/>
                <w:kern w:val="2"/>
                <w:sz w:val="24"/>
                <w:szCs w:val="24"/>
              </w:rPr>
            </w:pPr>
            <w:r>
              <w:rPr>
                <w:rFonts w:hint="eastAsia" w:hAnsi="宋体" w:cs="宋体"/>
                <w:bCs/>
                <w:color w:val="auto"/>
                <w:kern w:val="2"/>
                <w:sz w:val="24"/>
                <w:szCs w:val="24"/>
              </w:rPr>
              <w:t>供应商名称：        （盖章)</w:t>
            </w:r>
          </w:p>
          <w:p>
            <w:pPr>
              <w:widowControl/>
              <w:jc w:val="left"/>
              <w:rPr>
                <w:rFonts w:hAnsi="宋体" w:cs="宋体"/>
                <w:bCs/>
                <w:color w:val="auto"/>
                <w:kern w:val="2"/>
                <w:sz w:val="24"/>
                <w:szCs w:val="24"/>
              </w:rPr>
            </w:pPr>
            <w:r>
              <w:rPr>
                <w:rFonts w:hint="eastAsia" w:hAnsi="宋体" w:cs="宋体"/>
                <w:bCs/>
                <w:color w:val="auto"/>
                <w:kern w:val="2"/>
                <w:sz w:val="24"/>
                <w:szCs w:val="24"/>
              </w:rPr>
              <w:t>法定代表人或授权代表（签字或盖章)：</w:t>
            </w:r>
          </w:p>
          <w:p>
            <w:pPr>
              <w:widowControl/>
              <w:jc w:val="left"/>
              <w:rPr>
                <w:rFonts w:hAnsi="宋体" w:cs="宋体"/>
                <w:color w:val="auto"/>
                <w:sz w:val="32"/>
                <w:szCs w:val="22"/>
              </w:rPr>
            </w:pPr>
            <w:r>
              <w:rPr>
                <w:rFonts w:hint="eastAsia" w:hAnsi="宋体" w:cs="宋体"/>
                <w:bCs/>
                <w:color w:val="auto"/>
                <w:kern w:val="2"/>
                <w:sz w:val="24"/>
                <w:szCs w:val="24"/>
              </w:rPr>
              <w:t>参选日期:</w:t>
            </w:r>
          </w:p>
        </w:tc>
      </w:tr>
    </w:tbl>
    <w:p>
      <w:pPr>
        <w:widowControl/>
        <w:jc w:val="left"/>
        <w:rPr>
          <w:rFonts w:hAnsi="宋体" w:cs="宋体"/>
          <w:b/>
          <w:color w:val="auto"/>
          <w:kern w:val="2"/>
          <w:sz w:val="24"/>
          <w:szCs w:val="24"/>
        </w:rPr>
      </w:pPr>
      <w:r>
        <w:rPr>
          <w:rFonts w:hint="eastAsia" w:hAnsi="宋体" w:cs="宋体"/>
          <w:b/>
          <w:color w:val="auto"/>
          <w:kern w:val="2"/>
          <w:sz w:val="24"/>
          <w:szCs w:val="24"/>
        </w:rPr>
        <w:t>注;供应商提供上述承诺函即视为提供了资格条件中所有要求提供的承诺，无须单独提供承诺函。</w:t>
      </w:r>
    </w:p>
    <w:p>
      <w:pPr>
        <w:widowControl/>
        <w:jc w:val="left"/>
        <w:rPr>
          <w:rFonts w:hAnsi="宋体" w:cs="宋体"/>
          <w:b/>
          <w:color w:val="auto"/>
          <w:kern w:val="2"/>
          <w:sz w:val="24"/>
          <w:szCs w:val="24"/>
        </w:rPr>
      </w:pPr>
    </w:p>
    <w:p>
      <w:pPr>
        <w:widowControl/>
        <w:jc w:val="left"/>
        <w:rPr>
          <w:rFonts w:hAnsi="宋体" w:cs="宋体"/>
          <w:b/>
          <w:color w:val="auto"/>
          <w:kern w:val="2"/>
          <w:sz w:val="24"/>
          <w:szCs w:val="24"/>
        </w:rPr>
      </w:pPr>
    </w:p>
    <w:p>
      <w:pPr>
        <w:widowControl/>
        <w:jc w:val="left"/>
        <w:rPr>
          <w:rFonts w:hAnsi="宋体" w:cs="宋体"/>
          <w:b/>
          <w:color w:val="auto"/>
          <w:kern w:val="2"/>
          <w:sz w:val="24"/>
          <w:szCs w:val="24"/>
        </w:rPr>
      </w:pPr>
    </w:p>
    <w:p>
      <w:pPr>
        <w:widowControl/>
        <w:jc w:val="left"/>
        <w:rPr>
          <w:rFonts w:hAnsi="宋体" w:cs="宋体"/>
          <w:b/>
          <w:color w:val="auto"/>
          <w:kern w:val="2"/>
          <w:sz w:val="24"/>
          <w:szCs w:val="24"/>
        </w:rPr>
      </w:pPr>
    </w:p>
    <w:p>
      <w:pPr>
        <w:widowControl/>
        <w:jc w:val="left"/>
        <w:rPr>
          <w:rFonts w:hint="eastAsia" w:hAnsi="宋体" w:cs="宋体"/>
          <w:b/>
          <w:color w:val="auto"/>
          <w:kern w:val="2"/>
          <w:sz w:val="24"/>
          <w:szCs w:val="24"/>
        </w:rPr>
      </w:pPr>
    </w:p>
    <w:p>
      <w:pPr>
        <w:widowControl/>
        <w:jc w:val="left"/>
        <w:rPr>
          <w:rFonts w:hAnsi="宋体" w:cs="宋体"/>
          <w:b/>
          <w:color w:val="auto"/>
          <w:kern w:val="2"/>
          <w:sz w:val="24"/>
          <w:szCs w:val="24"/>
        </w:rPr>
      </w:pPr>
      <w:r>
        <w:rPr>
          <w:rFonts w:hint="eastAsia" w:hAnsi="宋体" w:cs="宋体"/>
          <w:b/>
          <w:color w:val="auto"/>
          <w:kern w:val="2"/>
          <w:sz w:val="24"/>
          <w:szCs w:val="24"/>
        </w:rPr>
        <w:t>三）、法定代表人授权书</w:t>
      </w:r>
    </w:p>
    <w:tbl>
      <w:tblPr>
        <w:tblStyle w:val="37"/>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64" w:hRule="atLeast"/>
        </w:trPr>
        <w:tc>
          <w:tcPr>
            <w:tcW w:w="10138" w:type="dxa"/>
            <w:noWrap/>
          </w:tcPr>
          <w:p>
            <w:pPr>
              <w:pStyle w:val="3"/>
              <w:spacing w:line="400" w:lineRule="exact"/>
              <w:ind w:left="581" w:leftChars="171" w:right="537" w:rightChars="158"/>
              <w:jc w:val="center"/>
              <w:rPr>
                <w:rFonts w:ascii="宋体" w:hAnsi="宋体" w:eastAsia="宋体" w:cs="宋体"/>
                <w:bCs/>
                <w:color w:val="auto"/>
                <w:szCs w:val="28"/>
              </w:rPr>
            </w:pPr>
            <w:r>
              <w:rPr>
                <w:rFonts w:hint="eastAsia" w:ascii="宋体" w:hAnsi="宋体" w:eastAsia="宋体" w:cs="宋体"/>
                <w:bCs/>
                <w:color w:val="auto"/>
                <w:szCs w:val="28"/>
              </w:rPr>
              <w:t>法定代表人授权书</w:t>
            </w:r>
          </w:p>
          <w:p>
            <w:pPr>
              <w:widowControl/>
              <w:jc w:val="left"/>
              <w:rPr>
                <w:rFonts w:hint="eastAsia" w:hAnsi="宋体" w:eastAsia="宋体" w:cs="宋体"/>
                <w:bCs/>
                <w:color w:val="auto"/>
                <w:kern w:val="2"/>
                <w:sz w:val="24"/>
                <w:szCs w:val="24"/>
                <w:lang w:eastAsia="zh-CN"/>
              </w:rPr>
            </w:pPr>
            <w:r>
              <w:rPr>
                <w:rFonts w:hint="eastAsia" w:hAnsi="宋体" w:cs="宋体"/>
                <w:bCs/>
                <w:color w:val="auto"/>
                <w:kern w:val="2"/>
                <w:sz w:val="24"/>
                <w:szCs w:val="24"/>
              </w:rPr>
              <w:t>致：</w:t>
            </w:r>
            <w:r>
              <w:rPr>
                <w:rFonts w:hint="eastAsia" w:ascii="仿宋" w:hAnsi="仿宋" w:eastAsia="仿宋" w:cs="仿宋"/>
                <w:b/>
                <w:bCs/>
                <w:color w:val="auto"/>
                <w:sz w:val="24"/>
                <w:u w:val="single"/>
                <w:lang w:eastAsia="zh-CN"/>
              </w:rPr>
              <w:t>古蔺县中医医院</w:t>
            </w:r>
          </w:p>
          <w:p>
            <w:pPr>
              <w:wordWrap w:val="0"/>
              <w:spacing w:line="400" w:lineRule="exact"/>
              <w:ind w:firstLine="480" w:firstLineChars="200"/>
              <w:rPr>
                <w:rFonts w:hAnsi="宋体" w:cs="宋体"/>
                <w:color w:val="auto"/>
                <w:sz w:val="24"/>
              </w:rPr>
            </w:pPr>
          </w:p>
          <w:p>
            <w:pPr>
              <w:wordWrap w:val="0"/>
              <w:spacing w:line="400" w:lineRule="exact"/>
              <w:ind w:firstLine="480" w:firstLineChars="200"/>
              <w:rPr>
                <w:rFonts w:hAnsi="宋体" w:cs="宋体"/>
                <w:color w:val="auto"/>
                <w:sz w:val="24"/>
              </w:rPr>
            </w:pPr>
            <w:r>
              <w:rPr>
                <w:rFonts w:hint="eastAsia" w:hAnsi="宋体" w:cs="宋体"/>
                <w:color w:val="auto"/>
                <w:sz w:val="24"/>
              </w:rPr>
              <w:t>本授权声明：</w:t>
            </w:r>
            <w:r>
              <w:rPr>
                <w:rFonts w:hint="eastAsia" w:hAnsi="宋体" w:cs="宋体"/>
                <w:color w:val="auto"/>
                <w:sz w:val="24"/>
                <w:u w:val="single"/>
              </w:rPr>
              <w:t xml:space="preserve">              </w:t>
            </w:r>
            <w:r>
              <w:rPr>
                <w:rFonts w:hint="eastAsia" w:hAnsi="宋体" w:cs="宋体"/>
                <w:color w:val="auto"/>
                <w:sz w:val="24"/>
              </w:rPr>
              <w:t>（供应商名称)（法定代表人姓名、职务</w:t>
            </w:r>
            <w:r>
              <w:rPr>
                <w:rFonts w:hint="eastAsia" w:hAnsi="宋体" w:cs="宋体"/>
                <w:color w:val="auto"/>
                <w:sz w:val="24"/>
                <w:u w:val="single"/>
              </w:rPr>
              <w:t xml:space="preserve">             </w:t>
            </w:r>
            <w:r>
              <w:rPr>
                <w:rFonts w:hint="eastAsia" w:hAnsi="宋体" w:cs="宋体"/>
                <w:color w:val="auto"/>
                <w:sz w:val="24"/>
              </w:rPr>
              <w:t>)授权（被授权人姓名、职务</w:t>
            </w:r>
            <w:r>
              <w:rPr>
                <w:rFonts w:hint="eastAsia" w:hAnsi="宋体" w:cs="宋体"/>
                <w:color w:val="auto"/>
                <w:sz w:val="24"/>
                <w:u w:val="single"/>
              </w:rPr>
              <w:t xml:space="preserve">                 </w:t>
            </w:r>
            <w:r>
              <w:rPr>
                <w:rFonts w:hint="eastAsia" w:hAnsi="宋体" w:cs="宋体"/>
                <w:color w:val="auto"/>
                <w:sz w:val="24"/>
              </w:rPr>
              <w:t>)为我方 “</w:t>
            </w:r>
            <w:r>
              <w:rPr>
                <w:rFonts w:hint="eastAsia" w:hAnsi="宋体" w:cs="宋体"/>
                <w:color w:val="auto"/>
                <w:sz w:val="24"/>
                <w:u w:val="single"/>
              </w:rPr>
              <w:t xml:space="preserve">                   </w:t>
            </w:r>
            <w:r>
              <w:rPr>
                <w:rFonts w:hint="eastAsia" w:hAnsi="宋体" w:cs="宋体"/>
                <w:color w:val="auto"/>
                <w:sz w:val="24"/>
              </w:rPr>
              <w:t>” 项目（项目编号</w:t>
            </w:r>
            <w:r>
              <w:rPr>
                <w:rFonts w:hint="eastAsia" w:hAnsi="宋体" w:cs="宋体"/>
                <w:color w:val="auto"/>
                <w:sz w:val="24"/>
                <w:u w:val="single"/>
              </w:rPr>
              <w:t xml:space="preserve">               </w:t>
            </w:r>
            <w:r>
              <w:rPr>
                <w:rFonts w:hint="eastAsia" w:hAnsi="宋体" w:cs="宋体"/>
                <w:color w:val="auto"/>
                <w:sz w:val="24"/>
              </w:rPr>
              <w:t>)参选活动的合法代表，以我方名义全权处理该项目有关参选、签订合同以及执行合同等一切事宜。</w:t>
            </w:r>
          </w:p>
          <w:p>
            <w:pPr>
              <w:spacing w:line="400" w:lineRule="exact"/>
              <w:ind w:firstLine="480" w:firstLineChars="200"/>
              <w:rPr>
                <w:rFonts w:hAnsi="宋体" w:cs="宋体"/>
                <w:color w:val="auto"/>
                <w:sz w:val="24"/>
              </w:rPr>
            </w:pPr>
            <w:r>
              <w:rPr>
                <w:rFonts w:hint="eastAsia" w:hAnsi="宋体" w:cs="宋体"/>
                <w:color w:val="auto"/>
                <w:sz w:val="24"/>
              </w:rPr>
              <w:t>特此声明。</w:t>
            </w:r>
          </w:p>
          <w:p>
            <w:pPr>
              <w:spacing w:line="400" w:lineRule="exact"/>
              <w:ind w:right="537" w:rightChars="158"/>
              <w:rPr>
                <w:rFonts w:hAnsi="宋体" w:cs="宋体"/>
                <w:b/>
                <w:bCs/>
                <w:color w:val="auto"/>
                <w:sz w:val="24"/>
              </w:rPr>
            </w:pPr>
          </w:p>
          <w:p>
            <w:pPr>
              <w:spacing w:line="400" w:lineRule="exact"/>
              <w:ind w:right="537" w:rightChars="158"/>
              <w:rPr>
                <w:rFonts w:hAnsi="宋体" w:cs="宋体"/>
                <w:b/>
                <w:bCs/>
                <w:color w:val="auto"/>
                <w:sz w:val="24"/>
              </w:rPr>
            </w:pPr>
            <w:r>
              <w:rPr>
                <w:rFonts w:hint="eastAsia" w:hAnsi="宋体" w:cs="宋体"/>
                <w:b/>
                <w:bCs/>
                <w:color w:val="auto"/>
                <w:sz w:val="24"/>
              </w:rPr>
              <w:t>注：1.法定代表人亲自参与比选，可不提供授权书，但需提供法定代表人身份证复印件。</w:t>
            </w:r>
          </w:p>
          <w:p>
            <w:pPr>
              <w:spacing w:line="400" w:lineRule="exact"/>
              <w:ind w:right="537" w:rightChars="158" w:firstLine="482" w:firstLineChars="200"/>
              <w:rPr>
                <w:rFonts w:hAnsi="宋体" w:cs="宋体"/>
                <w:color w:val="auto"/>
                <w:sz w:val="24"/>
              </w:rPr>
            </w:pPr>
            <w:r>
              <w:rPr>
                <w:rFonts w:hint="eastAsia" w:hAnsi="宋体" w:cs="宋体"/>
                <w:b/>
                <w:color w:val="auto"/>
                <w:sz w:val="24"/>
              </w:rPr>
              <w:t>2.需附授权代表身份证复印件和法定代表人身份证复印件（正反面）；</w:t>
            </w: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p>
          <w:p>
            <w:pPr>
              <w:spacing w:line="400" w:lineRule="exact"/>
              <w:ind w:right="537" w:rightChars="158"/>
              <w:rPr>
                <w:rFonts w:hAnsi="宋体" w:cs="宋体"/>
                <w:color w:val="auto"/>
                <w:sz w:val="24"/>
              </w:rPr>
            </w:pPr>
            <w:r>
              <w:rPr>
                <w:rFonts w:hint="eastAsia" w:hAnsi="宋体" w:cs="宋体"/>
                <w:color w:val="auto"/>
                <w:sz w:val="24"/>
              </w:rPr>
              <w:t>供应商名称：         （盖章)</w:t>
            </w:r>
          </w:p>
          <w:p>
            <w:pPr>
              <w:spacing w:line="400" w:lineRule="exact"/>
              <w:ind w:right="537" w:rightChars="158"/>
              <w:rPr>
                <w:rFonts w:hAnsi="宋体" w:cs="宋体"/>
                <w:color w:val="auto"/>
                <w:sz w:val="24"/>
              </w:rPr>
            </w:pPr>
            <w:r>
              <w:rPr>
                <w:rFonts w:hint="eastAsia" w:hAnsi="宋体" w:cs="宋体"/>
                <w:color w:val="auto"/>
                <w:sz w:val="24"/>
              </w:rPr>
              <w:t>法定代表人（签字或盖章)：</w:t>
            </w:r>
          </w:p>
          <w:p>
            <w:pPr>
              <w:spacing w:line="400" w:lineRule="exact"/>
              <w:ind w:right="537" w:rightChars="158"/>
              <w:rPr>
                <w:rFonts w:hAnsi="宋体" w:cs="宋体"/>
                <w:color w:val="auto"/>
                <w:sz w:val="24"/>
              </w:rPr>
            </w:pPr>
            <w:r>
              <w:rPr>
                <w:rFonts w:hint="eastAsia" w:hAnsi="宋体" w:cs="宋体"/>
                <w:color w:val="auto"/>
                <w:sz w:val="24"/>
              </w:rPr>
              <w:t>授权代表（签字或盖章)：</w:t>
            </w:r>
          </w:p>
          <w:p>
            <w:pPr>
              <w:widowControl/>
              <w:jc w:val="left"/>
              <w:rPr>
                <w:rFonts w:hAnsi="宋体" w:cs="宋体"/>
                <w:b/>
                <w:color w:val="auto"/>
                <w:kern w:val="2"/>
                <w:sz w:val="24"/>
                <w:szCs w:val="24"/>
              </w:rPr>
            </w:pPr>
            <w:r>
              <w:rPr>
                <w:rFonts w:hint="eastAsia" w:hAnsi="宋体" w:cs="宋体"/>
                <w:color w:val="auto"/>
                <w:sz w:val="24"/>
              </w:rPr>
              <w:t>日    期：   年    月    日</w:t>
            </w:r>
          </w:p>
        </w:tc>
      </w:tr>
    </w:tbl>
    <w:p>
      <w:pPr>
        <w:widowControl/>
        <w:jc w:val="left"/>
        <w:rPr>
          <w:rFonts w:hAnsi="宋体" w:cs="宋体"/>
          <w:b/>
          <w:color w:val="auto"/>
          <w:kern w:val="2"/>
          <w:sz w:val="24"/>
          <w:szCs w:val="24"/>
        </w:rPr>
      </w:pPr>
    </w:p>
    <w:p>
      <w:pPr>
        <w:pStyle w:val="17"/>
        <w:jc w:val="center"/>
        <w:rPr>
          <w:rFonts w:hAnsi="宋体" w:cs="宋体"/>
          <w:color w:val="auto"/>
          <w:sz w:val="36"/>
          <w:szCs w:val="16"/>
        </w:rPr>
      </w:pPr>
      <w:r>
        <w:rPr>
          <w:color w:val="auto"/>
          <w:kern w:val="2"/>
        </w:rPr>
        <w:br w:type="page"/>
      </w:r>
      <w:bookmarkEnd w:id="132"/>
      <w:bookmarkEnd w:id="133"/>
      <w:bookmarkEnd w:id="134"/>
      <w:bookmarkEnd w:id="135"/>
      <w:bookmarkEnd w:id="136"/>
      <w:bookmarkEnd w:id="137"/>
      <w:bookmarkEnd w:id="138"/>
      <w:bookmarkEnd w:id="139"/>
      <w:bookmarkEnd w:id="141"/>
      <w:bookmarkEnd w:id="142"/>
      <w:bookmarkEnd w:id="143"/>
      <w:bookmarkEnd w:id="144"/>
      <w:bookmarkEnd w:id="145"/>
      <w:bookmarkStart w:id="146" w:name="_Toc331850066"/>
      <w:bookmarkStart w:id="147" w:name="_Toc23894_WPSOffice_Level1"/>
      <w:bookmarkStart w:id="148" w:name="_Toc17824"/>
      <w:bookmarkStart w:id="149" w:name="_Toc307564885"/>
    </w:p>
    <w:p>
      <w:pPr>
        <w:ind w:firstLine="3313" w:firstLineChars="1100"/>
        <w:rPr>
          <w:rFonts w:hint="eastAsia" w:ascii="宋体" w:hAnsi="宋体" w:eastAsia="宋体" w:cs="宋体"/>
          <w:b/>
          <w:bCs/>
          <w:color w:val="auto"/>
          <w:sz w:val="24"/>
          <w:szCs w:val="21"/>
        </w:rPr>
      </w:pPr>
      <w:bookmarkStart w:id="150" w:name="_Toc217446087"/>
      <w:r>
        <w:rPr>
          <w:rFonts w:hint="eastAsia" w:ascii="宋体" w:hAnsi="宋体" w:eastAsia="宋体" w:cs="宋体"/>
          <w:b/>
          <w:bCs/>
          <w:color w:val="auto"/>
          <w:sz w:val="30"/>
          <w:szCs w:val="30"/>
          <w:lang w:val="en-US" w:eastAsia="zh-CN"/>
        </w:rPr>
        <w:t>四</w:t>
      </w:r>
      <w:r>
        <w:rPr>
          <w:rFonts w:hint="eastAsia" w:ascii="宋体" w:hAnsi="宋体" w:eastAsia="宋体" w:cs="宋体"/>
          <w:b/>
          <w:bCs/>
          <w:color w:val="auto"/>
          <w:sz w:val="30"/>
          <w:szCs w:val="30"/>
        </w:rPr>
        <w:t>、商务</w:t>
      </w:r>
      <w:r>
        <w:rPr>
          <w:rFonts w:hint="eastAsia" w:ascii="宋体" w:hAnsi="宋体" w:eastAsia="宋体" w:cs="宋体"/>
          <w:b/>
          <w:bCs/>
          <w:color w:val="auto"/>
          <w:sz w:val="30"/>
          <w:szCs w:val="30"/>
          <w:lang w:val="en-US" w:eastAsia="zh-CN"/>
        </w:rPr>
        <w:t>响应</w:t>
      </w:r>
      <w:r>
        <w:rPr>
          <w:rFonts w:hint="eastAsia" w:ascii="宋体" w:hAnsi="宋体" w:eastAsia="宋体" w:cs="宋体"/>
          <w:b/>
          <w:bCs/>
          <w:color w:val="auto"/>
          <w:sz w:val="30"/>
          <w:szCs w:val="30"/>
        </w:rPr>
        <w:t>表</w:t>
      </w:r>
      <w:bookmarkEnd w:id="150"/>
    </w:p>
    <w:p>
      <w:pPr>
        <w:spacing w:line="400" w:lineRule="exact"/>
        <w:ind w:firstLine="241" w:firstLineChars="100"/>
        <w:rPr>
          <w:rFonts w:hint="eastAsia" w:ascii="宋体" w:hAnsi="宋体" w:eastAsia="宋体" w:cs="宋体"/>
          <w:color w:val="auto"/>
          <w:sz w:val="24"/>
          <w:lang w:val="en-US" w:eastAsia="zh-CN"/>
        </w:rPr>
      </w:pPr>
      <w:r>
        <w:rPr>
          <w:rFonts w:hint="eastAsia" w:ascii="宋体" w:hAnsi="宋体" w:eastAsia="宋体" w:cs="宋体"/>
          <w:b/>
          <w:bCs/>
          <w:color w:val="auto"/>
          <w:sz w:val="24"/>
          <w:szCs w:val="21"/>
        </w:rPr>
        <w:t xml:space="preserve">项目编号：  </w:t>
      </w:r>
      <w:r>
        <w:rPr>
          <w:rFonts w:hint="eastAsia" w:ascii="宋体" w:hAnsi="宋体" w:eastAsia="宋体" w:cs="宋体"/>
          <w:b/>
          <w:bCs/>
          <w:color w:val="auto"/>
          <w:sz w:val="24"/>
          <w:szCs w:val="21"/>
          <w:lang w:val="en-US" w:eastAsia="zh-CN"/>
        </w:rPr>
        <w:t xml:space="preserve">                </w:t>
      </w:r>
    </w:p>
    <w:tbl>
      <w:tblPr>
        <w:tblStyle w:val="37"/>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5691"/>
        <w:gridCol w:w="2114"/>
        <w:gridCol w:w="1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808"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比选文件</w:t>
            </w:r>
            <w:r>
              <w:rPr>
                <w:rFonts w:hint="eastAsia" w:ascii="宋体" w:hAnsi="宋体" w:eastAsia="宋体" w:cs="宋体"/>
                <w:color w:val="auto"/>
                <w:sz w:val="18"/>
                <w:szCs w:val="18"/>
              </w:rPr>
              <w:t>商务要求</w:t>
            </w:r>
          </w:p>
        </w:tc>
        <w:tc>
          <w:tcPr>
            <w:tcW w:w="1043"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响应文件</w:t>
            </w:r>
            <w:r>
              <w:rPr>
                <w:rFonts w:hint="eastAsia" w:ascii="宋体" w:hAnsi="宋体" w:eastAsia="宋体" w:cs="宋体"/>
                <w:color w:val="auto"/>
                <w:sz w:val="18"/>
                <w:szCs w:val="18"/>
              </w:rPr>
              <w:t>商务要求</w:t>
            </w:r>
          </w:p>
        </w:tc>
        <w:tc>
          <w:tcPr>
            <w:tcW w:w="656"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808" w:type="pct"/>
            <w:tcBorders>
              <w:tl2br w:val="nil"/>
              <w:tr2bl w:val="nil"/>
            </w:tcBorders>
            <w:noWrap w:val="0"/>
            <w:vAlign w:val="center"/>
          </w:tcPr>
          <w:p>
            <w:pPr>
              <w:spacing w:after="50" w:line="240" w:lineRule="auto"/>
              <w:jc w:val="both"/>
              <w:rPr>
                <w:rFonts w:hint="eastAsia" w:ascii="宋体" w:hAnsi="宋体" w:eastAsia="宋体" w:cs="宋体"/>
                <w:color w:val="auto"/>
                <w:sz w:val="18"/>
                <w:szCs w:val="18"/>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808" w:type="pct"/>
            <w:tcBorders>
              <w:tl2br w:val="nil"/>
              <w:tr2bl w:val="nil"/>
            </w:tcBorders>
            <w:noWrap w:val="0"/>
            <w:vAlign w:val="center"/>
          </w:tcPr>
          <w:p>
            <w:pPr>
              <w:spacing w:line="240" w:lineRule="auto"/>
              <w:rPr>
                <w:rFonts w:hint="eastAsia" w:ascii="宋体" w:hAnsi="宋体" w:eastAsia="宋体" w:cs="宋体"/>
                <w:color w:val="auto"/>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2808" w:type="pct"/>
            <w:tcBorders>
              <w:tl2br w:val="nil"/>
              <w:tr2bl w:val="nil"/>
            </w:tcBorders>
            <w:noWrap w:val="0"/>
            <w:vAlign w:val="center"/>
          </w:tcPr>
          <w:p>
            <w:pPr>
              <w:pStyle w:val="94"/>
              <w:spacing w:line="240" w:lineRule="auto"/>
              <w:jc w:val="center"/>
              <w:rPr>
                <w:rFonts w:hint="eastAsia" w:ascii="宋体" w:hAnsi="宋体" w:eastAsia="宋体" w:cs="宋体"/>
                <w:b/>
                <w:bCs/>
                <w:color w:val="auto"/>
                <w:sz w:val="18"/>
                <w:szCs w:val="18"/>
                <w:lang w:val="en-US" w:eastAsia="zh-CN" w:bidi="ar-SA"/>
              </w:rPr>
            </w:pPr>
            <w:r>
              <w:rPr>
                <w:rFonts w:hint="eastAsia" w:ascii="宋体" w:hAnsi="宋体" w:eastAsia="宋体" w:cs="宋体"/>
                <w:b/>
                <w:bCs/>
                <w:color w:val="auto"/>
                <w:sz w:val="18"/>
                <w:szCs w:val="18"/>
                <w:lang w:val="en-US" w:eastAsia="zh-CN" w:bidi="ar-SA"/>
              </w:rPr>
              <w:t>...</w:t>
            </w:r>
          </w:p>
        </w:tc>
        <w:tc>
          <w:tcPr>
            <w:tcW w:w="1043" w:type="pct"/>
            <w:tcBorders>
              <w:tl2br w:val="nil"/>
              <w:tr2bl w:val="nil"/>
            </w:tcBorders>
            <w:noWrap w:val="0"/>
            <w:vAlign w:val="center"/>
          </w:tcPr>
          <w:p>
            <w:pPr>
              <w:pStyle w:val="94"/>
              <w:spacing w:line="240" w:lineRule="auto"/>
              <w:jc w:val="center"/>
              <w:rPr>
                <w:rFonts w:hint="eastAsia" w:ascii="宋体" w:hAnsi="宋体" w:eastAsia="宋体" w:cs="宋体"/>
                <w:b/>
                <w:bCs/>
                <w:color w:val="auto"/>
                <w:sz w:val="18"/>
                <w:szCs w:val="18"/>
                <w:lang w:val="en-US" w:eastAsia="zh-CN" w:bidi="ar-SA"/>
              </w:rPr>
            </w:pPr>
            <w:r>
              <w:rPr>
                <w:rFonts w:hint="eastAsia" w:ascii="宋体" w:hAnsi="宋体" w:eastAsia="宋体" w:cs="宋体"/>
                <w:b/>
                <w:bCs/>
                <w:color w:val="auto"/>
                <w:sz w:val="18"/>
                <w:szCs w:val="18"/>
                <w:lang w:val="en-US" w:eastAsia="zh-CN" w:bidi="ar-SA"/>
              </w:rPr>
              <w:t>...</w:t>
            </w:r>
          </w:p>
        </w:tc>
        <w:tc>
          <w:tcPr>
            <w:tcW w:w="656" w:type="pct"/>
            <w:tcBorders>
              <w:tl2br w:val="nil"/>
              <w:tr2bl w:val="nil"/>
            </w:tcBorders>
            <w:noWrap w:val="0"/>
            <w:vAlign w:val="center"/>
          </w:tcPr>
          <w:p>
            <w:pPr>
              <w:spacing w:line="240" w:lineRule="auto"/>
              <w:jc w:val="both"/>
              <w:rPr>
                <w:rFonts w:hint="eastAsia" w:ascii="宋体" w:hAnsi="宋体" w:eastAsia="宋体" w:cs="宋体"/>
                <w:b/>
                <w:bCs/>
                <w:color w:val="auto"/>
                <w:sz w:val="18"/>
                <w:szCs w:val="18"/>
              </w:rPr>
            </w:pPr>
          </w:p>
        </w:tc>
      </w:tr>
    </w:tbl>
    <w:p>
      <w:pPr>
        <w:spacing w:line="276" w:lineRule="auto"/>
        <w:rPr>
          <w:rFonts w:hint="eastAsia" w:ascii="宋体" w:hAnsi="宋体" w:eastAsia="宋体" w:cs="宋体"/>
          <w:color w:val="auto"/>
          <w:kern w:val="2"/>
          <w:sz w:val="24"/>
          <w:szCs w:val="22"/>
          <w:lang w:eastAsia="zh-CN"/>
        </w:rPr>
      </w:pPr>
      <w:r>
        <w:rPr>
          <w:rFonts w:hint="eastAsia" w:ascii="宋体" w:hAnsi="宋体" w:eastAsia="宋体" w:cs="宋体"/>
          <w:color w:val="auto"/>
          <w:kern w:val="2"/>
          <w:sz w:val="24"/>
          <w:szCs w:val="22"/>
        </w:rPr>
        <w:t>注：1.</w:t>
      </w:r>
      <w:r>
        <w:rPr>
          <w:rFonts w:hint="eastAsia" w:ascii="宋体" w:hAnsi="宋体" w:eastAsia="宋体" w:cs="宋体"/>
          <w:color w:val="auto"/>
          <w:kern w:val="2"/>
          <w:sz w:val="24"/>
          <w:szCs w:val="22"/>
          <w:lang w:eastAsia="zh-CN"/>
        </w:rPr>
        <w:t>比选文件</w:t>
      </w:r>
      <w:r>
        <w:rPr>
          <w:rFonts w:hint="eastAsia" w:ascii="宋体" w:hAnsi="宋体" w:eastAsia="宋体" w:cs="宋体"/>
          <w:color w:val="auto"/>
          <w:kern w:val="2"/>
          <w:sz w:val="24"/>
          <w:szCs w:val="22"/>
        </w:rPr>
        <w:t>中第五章中涉及的商务要求，</w:t>
      </w:r>
      <w:r>
        <w:rPr>
          <w:rFonts w:hint="eastAsia" w:ascii="宋体" w:hAnsi="宋体" w:eastAsia="宋体" w:cs="宋体"/>
          <w:b/>
          <w:bCs/>
          <w:color w:val="auto"/>
          <w:kern w:val="2"/>
          <w:sz w:val="24"/>
          <w:szCs w:val="22"/>
        </w:rPr>
        <w:t>供应商须逐条响应</w:t>
      </w:r>
      <w:r>
        <w:rPr>
          <w:rFonts w:hint="eastAsia" w:ascii="宋体" w:hAnsi="宋体" w:eastAsia="宋体" w:cs="宋体"/>
          <w:color w:val="auto"/>
          <w:kern w:val="2"/>
          <w:sz w:val="24"/>
          <w:szCs w:val="22"/>
          <w:lang w:eastAsia="zh-CN"/>
        </w:rPr>
        <w:t>，未响应或内容遗漏视为</w:t>
      </w:r>
      <w:r>
        <w:rPr>
          <w:rFonts w:hint="eastAsia" w:ascii="宋体" w:hAnsi="宋体" w:eastAsia="宋体" w:cs="宋体"/>
          <w:color w:val="auto"/>
          <w:kern w:val="2"/>
          <w:sz w:val="24"/>
          <w:szCs w:val="22"/>
        </w:rPr>
        <w:t>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r>
        <w:rPr>
          <w:rFonts w:hint="eastAsia" w:ascii="宋体" w:hAnsi="宋体" w:eastAsia="宋体" w:cs="宋体"/>
          <w:color w:val="auto"/>
          <w:kern w:val="2"/>
          <w:sz w:val="24"/>
          <w:szCs w:val="22"/>
          <w:lang w:eastAsia="zh-CN"/>
        </w:rPr>
        <w:t>比选文件</w:t>
      </w:r>
      <w:r>
        <w:rPr>
          <w:rFonts w:hint="eastAsia" w:ascii="宋体" w:hAnsi="宋体" w:eastAsia="宋体" w:cs="宋体"/>
          <w:color w:val="auto"/>
          <w:kern w:val="2"/>
          <w:sz w:val="24"/>
          <w:szCs w:val="22"/>
        </w:rPr>
        <w:t>中明确不允许偏离的，如果偏离视为无效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2.不得虚假响应，虚假响应的，其</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sz w:val="24"/>
        </w:rPr>
        <w:t>无效并按规定追究其相关责任。</w:t>
      </w:r>
    </w:p>
    <w:p>
      <w:pPr>
        <w:pStyle w:val="17"/>
        <w:rPr>
          <w:rFonts w:hint="eastAsia" w:ascii="宋体" w:hAnsi="宋体" w:eastAsia="宋体" w:cs="宋体"/>
          <w:color w:val="auto"/>
        </w:rPr>
      </w:pPr>
    </w:p>
    <w:p>
      <w:pPr>
        <w:spacing w:line="240" w:lineRule="auto"/>
        <w:rPr>
          <w:rFonts w:hint="eastAsia" w:ascii="宋体" w:hAnsi="宋体" w:eastAsia="宋体" w:cs="宋体"/>
          <w:color w:val="auto"/>
          <w:kern w:val="2"/>
          <w:sz w:val="24"/>
          <w:szCs w:val="22"/>
        </w:rPr>
      </w:pPr>
      <w:r>
        <w:rPr>
          <w:rFonts w:hint="eastAsia" w:ascii="宋体" w:hAnsi="宋体" w:eastAsia="宋体" w:cs="宋体"/>
          <w:bCs/>
          <w:color w:val="auto"/>
          <w:sz w:val="24"/>
          <w:lang w:eastAsia="zh-CN"/>
        </w:rPr>
        <w:t>供应商</w:t>
      </w:r>
      <w:r>
        <w:rPr>
          <w:rFonts w:hint="eastAsia" w:ascii="宋体" w:hAnsi="宋体" w:eastAsia="宋体" w:cs="宋体"/>
          <w:color w:val="auto"/>
          <w:kern w:val="2"/>
          <w:sz w:val="24"/>
          <w:szCs w:val="22"/>
        </w:rPr>
        <w:t>名称：      （盖章）</w:t>
      </w:r>
    </w:p>
    <w:p>
      <w:pPr>
        <w:spacing w:line="240" w:lineRule="auto"/>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法定代表人或授权代表（签字）：</w:t>
      </w:r>
    </w:p>
    <w:p>
      <w:pPr>
        <w:spacing w:line="240" w:lineRule="auto"/>
        <w:rPr>
          <w:rFonts w:hint="eastAsia" w:ascii="宋体" w:hAnsi="宋体" w:eastAsia="宋体" w:cs="宋体"/>
          <w:bCs/>
          <w:color w:val="auto"/>
          <w:sz w:val="28"/>
          <w:szCs w:val="28"/>
        </w:rPr>
      </w:pPr>
      <w:r>
        <w:rPr>
          <w:rFonts w:hint="eastAsia" w:ascii="宋体" w:hAnsi="宋体" w:eastAsia="宋体" w:cs="宋体"/>
          <w:color w:val="auto"/>
          <w:kern w:val="2"/>
          <w:sz w:val="24"/>
          <w:szCs w:val="22"/>
        </w:rPr>
        <w:t>日期:</w:t>
      </w:r>
    </w:p>
    <w:p>
      <w:pPr>
        <w:pStyle w:val="3"/>
        <w:spacing w:line="400" w:lineRule="exact"/>
        <w:jc w:val="center"/>
        <w:rPr>
          <w:rFonts w:hint="eastAsia" w:ascii="仿宋" w:hAnsi="仿宋" w:eastAsia="仿宋" w:cs="仿宋"/>
          <w:b/>
          <w:bCs w:val="0"/>
          <w:color w:val="auto"/>
          <w:sz w:val="30"/>
          <w:szCs w:val="30"/>
          <w:lang w:val="en-US" w:eastAsia="zh-CN"/>
        </w:rPr>
      </w:pPr>
    </w:p>
    <w:p>
      <w:pPr>
        <w:pStyle w:val="3"/>
        <w:spacing w:line="400" w:lineRule="exact"/>
        <w:jc w:val="both"/>
        <w:rPr>
          <w:rFonts w:hint="eastAsia" w:ascii="仿宋" w:hAnsi="仿宋" w:eastAsia="仿宋" w:cs="仿宋"/>
          <w:b/>
          <w:bCs w:val="0"/>
          <w:color w:val="auto"/>
          <w:sz w:val="30"/>
          <w:szCs w:val="30"/>
          <w:lang w:val="en-US" w:eastAsia="zh-CN"/>
        </w:rPr>
      </w:pPr>
    </w:p>
    <w:p>
      <w:pPr>
        <w:rPr>
          <w:rFonts w:hint="eastAsia"/>
          <w:color w:val="auto"/>
          <w:lang w:val="en-US" w:eastAsia="zh-CN"/>
        </w:rPr>
      </w:pPr>
    </w:p>
    <w:p>
      <w:pPr>
        <w:pStyle w:val="3"/>
        <w:spacing w:line="400" w:lineRule="exact"/>
        <w:jc w:val="center"/>
        <w:rPr>
          <w:rFonts w:hint="eastAsia" w:ascii="宋体" w:hAnsi="宋体" w:eastAsia="宋体" w:cs="宋体"/>
          <w:b/>
          <w:bCs/>
          <w:color w:val="auto"/>
          <w:sz w:val="28"/>
        </w:rPr>
      </w:pPr>
      <w:r>
        <w:rPr>
          <w:rFonts w:hint="eastAsia" w:ascii="宋体" w:hAnsi="宋体" w:eastAsia="宋体" w:cs="宋体"/>
          <w:b/>
          <w:bCs w:val="0"/>
          <w:color w:val="auto"/>
          <w:sz w:val="30"/>
          <w:szCs w:val="30"/>
          <w:lang w:val="en-US" w:eastAsia="zh-CN"/>
        </w:rPr>
        <w:t>五</w:t>
      </w:r>
      <w:r>
        <w:rPr>
          <w:rFonts w:hint="eastAsia" w:ascii="宋体" w:hAnsi="宋体" w:eastAsia="宋体" w:cs="宋体"/>
          <w:b/>
          <w:bCs w:val="0"/>
          <w:color w:val="auto"/>
          <w:sz w:val="30"/>
          <w:szCs w:val="30"/>
        </w:rPr>
        <w:t>、技术、服务要求应答表</w:t>
      </w:r>
    </w:p>
    <w:p>
      <w:pPr>
        <w:spacing w:line="360" w:lineRule="auto"/>
        <w:ind w:firstLine="120" w:firstLineChars="5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1"/>
        </w:rPr>
        <w:t>项目编号：</w:t>
      </w:r>
      <w:r>
        <w:rPr>
          <w:rFonts w:hint="eastAsia" w:ascii="宋体" w:hAnsi="宋体" w:eastAsia="宋体" w:cs="宋体"/>
          <w:b/>
          <w:bCs/>
          <w:color w:val="auto"/>
          <w:sz w:val="24"/>
          <w:szCs w:val="21"/>
          <w:lang w:val="en-US" w:eastAsia="zh-CN"/>
        </w:rPr>
        <w:t xml:space="preserve">                </w:t>
      </w:r>
    </w:p>
    <w:tbl>
      <w:tblPr>
        <w:tblStyle w:val="37"/>
        <w:tblW w:w="4996"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0"/>
        <w:gridCol w:w="5356"/>
        <w:gridCol w:w="2063"/>
        <w:gridCol w:w="1225"/>
        <w:gridCol w:w="7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370" w:type="pct"/>
            <w:noWrap w:val="0"/>
            <w:vAlign w:val="center"/>
          </w:tcPr>
          <w:p>
            <w:pPr>
              <w:pStyle w:val="94"/>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644" w:type="pct"/>
            <w:noWrap w:val="0"/>
            <w:vAlign w:val="center"/>
          </w:tcPr>
          <w:p>
            <w:pPr>
              <w:pStyle w:val="94"/>
              <w:ind w:firstLine="360" w:firstLineChars="20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比选文件</w:t>
            </w:r>
            <w:r>
              <w:rPr>
                <w:rFonts w:hint="eastAsia" w:ascii="宋体" w:hAnsi="宋体" w:eastAsia="宋体" w:cs="宋体"/>
                <w:color w:val="auto"/>
                <w:sz w:val="18"/>
                <w:szCs w:val="18"/>
              </w:rPr>
              <w:t>要求</w:t>
            </w:r>
          </w:p>
        </w:tc>
        <w:tc>
          <w:tcPr>
            <w:tcW w:w="1018"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响应文件</w:t>
            </w:r>
            <w:r>
              <w:rPr>
                <w:rFonts w:hint="eastAsia" w:ascii="宋体" w:hAnsi="宋体" w:eastAsia="宋体" w:cs="宋体"/>
                <w:color w:val="auto"/>
                <w:sz w:val="18"/>
                <w:szCs w:val="18"/>
              </w:rPr>
              <w:t>应答</w:t>
            </w:r>
          </w:p>
        </w:tc>
        <w:tc>
          <w:tcPr>
            <w:tcW w:w="604"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rPr>
              <w:t>响应/偏离</w:t>
            </w:r>
          </w:p>
        </w:tc>
        <w:tc>
          <w:tcPr>
            <w:tcW w:w="363"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644" w:type="pct"/>
            <w:noWrap w:val="0"/>
            <w:vAlign w:val="center"/>
          </w:tcPr>
          <w:p>
            <w:pPr>
              <w:pStyle w:val="94"/>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644" w:type="pct"/>
            <w:noWrap w:val="0"/>
            <w:vAlign w:val="center"/>
          </w:tcPr>
          <w:p>
            <w:pPr>
              <w:pStyle w:val="5"/>
              <w:ind w:firstLine="0" w:firstLineChars="0"/>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370" w:type="pct"/>
            <w:noWrap w:val="0"/>
            <w:vAlign w:val="center"/>
          </w:tcPr>
          <w:p>
            <w:pPr>
              <w:pStyle w:val="94"/>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2644" w:type="pct"/>
            <w:noWrap w:val="0"/>
            <w:vAlign w:val="center"/>
          </w:tcPr>
          <w:p>
            <w:pPr>
              <w:pStyle w:val="5"/>
              <w:ind w:firstLine="0" w:firstLineChars="0"/>
              <w:jc w:val="both"/>
              <w:rPr>
                <w:rFonts w:hint="eastAsia" w:ascii="宋体" w:hAnsi="宋体" w:eastAsia="宋体" w:cs="宋体"/>
                <w:color w:val="auto"/>
                <w:sz w:val="18"/>
                <w:szCs w:val="18"/>
                <w:lang w:eastAsia="zh-CN"/>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2644" w:type="pct"/>
            <w:noWrap w:val="0"/>
            <w:vAlign w:val="center"/>
          </w:tcPr>
          <w:p>
            <w:pPr>
              <w:pStyle w:val="5"/>
              <w:ind w:firstLine="0" w:firstLineChars="0"/>
              <w:jc w:val="both"/>
              <w:rPr>
                <w:rFonts w:hint="eastAsia" w:ascii="宋体" w:hAnsi="宋体" w:eastAsia="宋体" w:cs="宋体"/>
                <w:color w:val="auto"/>
                <w:sz w:val="18"/>
                <w:szCs w:val="18"/>
                <w:lang w:eastAsia="zh-CN"/>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2644"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018"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bl>
    <w:p>
      <w:pPr>
        <w:spacing w:line="276" w:lineRule="auto"/>
        <w:rPr>
          <w:rFonts w:hint="eastAsia" w:ascii="宋体" w:hAnsi="宋体" w:eastAsia="宋体" w:cs="宋体"/>
          <w:b/>
          <w:bCs/>
          <w:color w:val="auto"/>
          <w:sz w:val="24"/>
          <w:lang w:eastAsia="zh-CN"/>
        </w:rPr>
      </w:pPr>
      <w:r>
        <w:rPr>
          <w:rFonts w:hint="eastAsia" w:ascii="宋体" w:hAnsi="宋体" w:eastAsia="宋体" w:cs="宋体"/>
          <w:color w:val="auto"/>
          <w:sz w:val="24"/>
        </w:rPr>
        <w:t>注：1. 供应商必须把</w:t>
      </w:r>
      <w:r>
        <w:rPr>
          <w:rFonts w:hint="eastAsia" w:ascii="宋体" w:hAnsi="宋体" w:eastAsia="宋体" w:cs="宋体"/>
          <w:color w:val="auto"/>
          <w:sz w:val="24"/>
          <w:lang w:eastAsia="zh-CN"/>
        </w:rPr>
        <w:t>比选文件</w:t>
      </w:r>
      <w:r>
        <w:rPr>
          <w:rFonts w:hint="eastAsia" w:ascii="宋体" w:hAnsi="宋体" w:eastAsia="宋体" w:cs="宋体"/>
          <w:color w:val="auto"/>
          <w:sz w:val="24"/>
        </w:rPr>
        <w:t>中</w:t>
      </w:r>
      <w:r>
        <w:rPr>
          <w:rFonts w:hint="eastAsia" w:ascii="宋体" w:hAnsi="宋体" w:eastAsia="宋体" w:cs="宋体"/>
          <w:b/>
          <w:bCs/>
          <w:color w:val="auto"/>
          <w:sz w:val="24"/>
        </w:rPr>
        <w:t>第五章全部</w:t>
      </w:r>
      <w:r>
        <w:rPr>
          <w:rFonts w:hint="eastAsia" w:ascii="宋体" w:hAnsi="宋体" w:eastAsia="宋体" w:cs="宋体"/>
          <w:b/>
          <w:bCs/>
          <w:color w:val="auto"/>
          <w:sz w:val="24"/>
          <w:lang w:eastAsia="zh-CN"/>
        </w:rPr>
        <w:t>技术</w:t>
      </w:r>
      <w:r>
        <w:rPr>
          <w:rFonts w:hint="eastAsia" w:ascii="宋体" w:hAnsi="宋体" w:eastAsia="宋体" w:cs="宋体"/>
          <w:b/>
          <w:bCs/>
          <w:color w:val="auto"/>
          <w:sz w:val="24"/>
        </w:rPr>
        <w:t>服务要求</w:t>
      </w:r>
      <w:r>
        <w:rPr>
          <w:rFonts w:hint="eastAsia" w:ascii="宋体" w:hAnsi="宋体" w:eastAsia="宋体" w:cs="宋体"/>
          <w:b/>
          <w:bCs/>
          <w:color w:val="auto"/>
          <w:kern w:val="2"/>
          <w:sz w:val="24"/>
          <w:szCs w:val="22"/>
        </w:rPr>
        <w:t>逐条响应，</w:t>
      </w:r>
      <w:r>
        <w:rPr>
          <w:rFonts w:hint="eastAsia" w:ascii="宋体" w:hAnsi="宋体" w:eastAsia="宋体" w:cs="宋体"/>
          <w:b/>
          <w:bCs/>
          <w:color w:val="auto"/>
          <w:kern w:val="2"/>
          <w:sz w:val="24"/>
          <w:szCs w:val="22"/>
          <w:lang w:val="en-US" w:eastAsia="zh-CN"/>
        </w:rPr>
        <w:t>未响应视为负偏离，</w:t>
      </w:r>
      <w:r>
        <w:rPr>
          <w:rFonts w:hint="eastAsia" w:ascii="宋体" w:hAnsi="宋体" w:eastAsia="宋体" w:cs="宋体"/>
          <w:color w:val="auto"/>
          <w:sz w:val="24"/>
          <w:lang w:eastAsia="zh-CN"/>
        </w:rPr>
        <w:t>比选文件</w:t>
      </w:r>
      <w:r>
        <w:rPr>
          <w:rFonts w:hint="eastAsia" w:ascii="宋体" w:hAnsi="宋体" w:eastAsia="宋体" w:cs="宋体"/>
          <w:color w:val="auto"/>
          <w:kern w:val="2"/>
          <w:sz w:val="24"/>
          <w:szCs w:val="22"/>
        </w:rPr>
        <w:t>中明确不允许偏离的，如果偏离视为无效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2．供应商必须据实填写，不得虚假响应，否则将取消其</w:t>
      </w:r>
      <w:r>
        <w:rPr>
          <w:rFonts w:hint="eastAsia" w:ascii="宋体" w:hAnsi="宋体" w:eastAsia="宋体" w:cs="宋体"/>
          <w:color w:val="auto"/>
          <w:sz w:val="24"/>
          <w:lang w:eastAsia="zh-CN"/>
        </w:rPr>
        <w:t>比选</w:t>
      </w:r>
      <w:r>
        <w:rPr>
          <w:rFonts w:hint="eastAsia" w:ascii="宋体" w:hAnsi="宋体" w:eastAsia="宋体" w:cs="宋体"/>
          <w:color w:val="auto"/>
          <w:sz w:val="24"/>
        </w:rPr>
        <w:t>或</w:t>
      </w:r>
      <w:r>
        <w:rPr>
          <w:rFonts w:hint="eastAsia" w:ascii="宋体" w:hAnsi="宋体" w:eastAsia="宋体" w:cs="宋体"/>
          <w:color w:val="auto"/>
          <w:sz w:val="24"/>
          <w:lang w:eastAsia="zh-CN"/>
        </w:rPr>
        <w:t>成交</w:t>
      </w:r>
      <w:r>
        <w:rPr>
          <w:rFonts w:hint="eastAsia" w:ascii="宋体" w:hAnsi="宋体" w:eastAsia="宋体" w:cs="宋体"/>
          <w:color w:val="auto"/>
          <w:sz w:val="24"/>
        </w:rPr>
        <w:t>资格，并按有关规定进行处罚。</w:t>
      </w:r>
    </w:p>
    <w:p>
      <w:pPr>
        <w:adjustRightInd w:val="0"/>
        <w:spacing w:line="480" w:lineRule="auto"/>
        <w:jc w:val="left"/>
        <w:rPr>
          <w:rFonts w:hint="eastAsia" w:ascii="宋体" w:hAnsi="宋体" w:eastAsia="宋体" w:cs="宋体"/>
          <w:bCs/>
          <w:color w:val="auto"/>
          <w:sz w:val="24"/>
        </w:rPr>
      </w:pPr>
    </w:p>
    <w:p>
      <w:pPr>
        <w:adjustRightInd w:val="0"/>
        <w:spacing w:line="240" w:lineRule="auto"/>
        <w:jc w:val="left"/>
        <w:rPr>
          <w:rFonts w:hint="eastAsia" w:ascii="宋体" w:hAnsi="宋体" w:eastAsia="宋体" w:cs="宋体"/>
          <w:bCs/>
          <w:color w:val="auto"/>
          <w:sz w:val="24"/>
        </w:rPr>
      </w:pP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名称：        （盖章）</w:t>
      </w:r>
    </w:p>
    <w:p>
      <w:pPr>
        <w:spacing w:line="240" w:lineRule="auto"/>
        <w:rPr>
          <w:rFonts w:hint="eastAsia" w:ascii="宋体" w:hAnsi="宋体" w:eastAsia="宋体" w:cs="宋体"/>
          <w:bCs/>
          <w:color w:val="auto"/>
          <w:sz w:val="24"/>
        </w:rPr>
      </w:pPr>
      <w:r>
        <w:rPr>
          <w:rFonts w:hint="eastAsia" w:ascii="宋体" w:hAnsi="宋体" w:eastAsia="宋体" w:cs="宋体"/>
          <w:color w:val="auto"/>
          <w:sz w:val="24"/>
        </w:rPr>
        <w:t>法定代表人或授权代表（签字）</w:t>
      </w:r>
      <w:r>
        <w:rPr>
          <w:rFonts w:hint="eastAsia" w:ascii="宋体" w:hAnsi="宋体" w:eastAsia="宋体" w:cs="宋体"/>
          <w:bCs/>
          <w:color w:val="auto"/>
          <w:sz w:val="24"/>
        </w:rPr>
        <w:t>：</w:t>
      </w:r>
    </w:p>
    <w:p>
      <w:pPr>
        <w:spacing w:line="240" w:lineRule="auto"/>
        <w:rPr>
          <w:rFonts w:hint="eastAsia" w:ascii="宋体" w:hAnsi="宋体" w:eastAsia="宋体" w:cs="宋体"/>
          <w:color w:val="auto"/>
          <w:sz w:val="36"/>
          <w:szCs w:val="16"/>
        </w:rPr>
      </w:pPr>
      <w:r>
        <w:rPr>
          <w:rFonts w:hint="eastAsia" w:ascii="宋体" w:hAnsi="宋体" w:eastAsia="宋体" w:cs="宋体"/>
          <w:bCs/>
          <w:color w:val="auto"/>
          <w:sz w:val="24"/>
        </w:rPr>
        <w:t>日</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期：</w:t>
      </w:r>
    </w:p>
    <w:p>
      <w:pPr>
        <w:pStyle w:val="3"/>
        <w:spacing w:line="360" w:lineRule="auto"/>
        <w:ind w:right="537" w:rightChars="158"/>
        <w:jc w:val="center"/>
        <w:rPr>
          <w:rFonts w:ascii="宋体" w:hAnsi="宋体" w:eastAsia="宋体" w:cs="宋体"/>
          <w:color w:val="auto"/>
          <w:sz w:val="36"/>
        </w:rPr>
      </w:pPr>
      <w:r>
        <w:rPr>
          <w:rFonts w:hint="eastAsia" w:ascii="宋体" w:hAnsi="宋体" w:eastAsia="宋体" w:cs="宋体"/>
          <w:color w:val="auto"/>
          <w:sz w:val="36"/>
          <w:szCs w:val="16"/>
        </w:rPr>
        <w:t>第四章 供应商应当提供的资格、资质性及</w:t>
      </w:r>
      <w:bookmarkEnd w:id="146"/>
      <w:bookmarkEnd w:id="147"/>
      <w:bookmarkStart w:id="151" w:name="_Toc331850067"/>
      <w:r>
        <w:rPr>
          <w:rFonts w:hint="eastAsia" w:ascii="宋体" w:hAnsi="宋体" w:eastAsia="宋体" w:cs="宋体"/>
          <w:color w:val="auto"/>
          <w:sz w:val="36"/>
          <w:szCs w:val="16"/>
        </w:rPr>
        <w:t>其他类似效力要求的相关证明材料</w:t>
      </w:r>
      <w:bookmarkEnd w:id="148"/>
      <w:bookmarkEnd w:id="149"/>
      <w:bookmarkEnd w:id="151"/>
    </w:p>
    <w:p>
      <w:pPr>
        <w:adjustRightInd w:val="0"/>
        <w:snapToGrid w:val="0"/>
        <w:spacing w:line="360" w:lineRule="auto"/>
        <w:jc w:val="left"/>
        <w:rPr>
          <w:rFonts w:hAnsi="宋体" w:cs="宋体"/>
          <w:b/>
          <w:bCs/>
          <w:color w:val="auto"/>
          <w:sz w:val="24"/>
          <w:szCs w:val="22"/>
          <w:lang w:val="zh-CN"/>
        </w:rPr>
      </w:pPr>
      <w:bookmarkStart w:id="152" w:name="_Toc307564886"/>
      <w:bookmarkStart w:id="153" w:name="_Toc307501141"/>
      <w:r>
        <w:rPr>
          <w:rFonts w:hint="eastAsia" w:hAnsi="宋体" w:cs="宋体"/>
          <w:b/>
          <w:bCs/>
          <w:color w:val="auto"/>
          <w:sz w:val="24"/>
          <w:szCs w:val="22"/>
          <w:lang w:val="zh-CN"/>
        </w:rPr>
        <w:t>一、应当提供的供应商资格、资质性及其他类似效力要求的相关证明材料</w:t>
      </w:r>
      <w:bookmarkEnd w:id="152"/>
      <w:bookmarkEnd w:id="153"/>
    </w:p>
    <w:p>
      <w:pPr>
        <w:jc w:val="left"/>
        <w:rPr>
          <w:rFonts w:hAnsi="宋体"/>
          <w:bCs/>
          <w:color w:val="auto"/>
          <w:sz w:val="24"/>
          <w:szCs w:val="22"/>
        </w:rPr>
      </w:pPr>
      <w:r>
        <w:rPr>
          <w:rFonts w:hint="eastAsia" w:hAnsi="宋体"/>
          <w:bCs/>
          <w:color w:val="auto"/>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Ansi="宋体"/>
          <w:bCs/>
          <w:color w:val="auto"/>
          <w:sz w:val="24"/>
          <w:szCs w:val="22"/>
        </w:rPr>
      </w:pPr>
      <w:r>
        <w:rPr>
          <w:rFonts w:hint="eastAsia" w:hAnsi="宋体"/>
          <w:bCs/>
          <w:color w:val="auto"/>
          <w:sz w:val="24"/>
          <w:szCs w:val="22"/>
        </w:rPr>
        <w:t xml:space="preserve">2.具有良好的商业信誉和健全的财务会计制度【提供承诺函】； </w:t>
      </w:r>
    </w:p>
    <w:p>
      <w:pPr>
        <w:jc w:val="left"/>
        <w:rPr>
          <w:rFonts w:hAnsi="宋体"/>
          <w:bCs/>
          <w:color w:val="auto"/>
          <w:sz w:val="24"/>
          <w:szCs w:val="22"/>
        </w:rPr>
      </w:pPr>
      <w:r>
        <w:rPr>
          <w:rFonts w:hint="eastAsia" w:hAnsi="宋体"/>
          <w:bCs/>
          <w:color w:val="auto"/>
          <w:sz w:val="24"/>
          <w:szCs w:val="22"/>
        </w:rPr>
        <w:t>3.具有依法缴纳税收和社会保障资金的良好记录【提供承诺函】；</w:t>
      </w:r>
    </w:p>
    <w:p>
      <w:pPr>
        <w:jc w:val="left"/>
        <w:rPr>
          <w:rFonts w:hAnsi="宋体"/>
          <w:bCs/>
          <w:color w:val="auto"/>
          <w:sz w:val="24"/>
          <w:szCs w:val="22"/>
        </w:rPr>
      </w:pPr>
      <w:r>
        <w:rPr>
          <w:rFonts w:hint="eastAsia" w:hAnsi="宋体"/>
          <w:bCs/>
          <w:color w:val="auto"/>
          <w:sz w:val="24"/>
          <w:szCs w:val="22"/>
        </w:rPr>
        <w:t>4.具有履行合同所必须的设备和专业技术能力【提供承诺函】；</w:t>
      </w:r>
    </w:p>
    <w:p>
      <w:pPr>
        <w:jc w:val="left"/>
        <w:rPr>
          <w:rFonts w:hAnsi="宋体"/>
          <w:bCs/>
          <w:color w:val="auto"/>
          <w:sz w:val="24"/>
          <w:szCs w:val="22"/>
        </w:rPr>
      </w:pPr>
      <w:r>
        <w:rPr>
          <w:rFonts w:hint="eastAsia" w:hAnsi="宋体"/>
          <w:bCs/>
          <w:color w:val="auto"/>
          <w:sz w:val="24"/>
          <w:szCs w:val="22"/>
        </w:rPr>
        <w:t xml:space="preserve">5.参加本次采购活动前三年内，在经营活动中没有重大违法记录； </w:t>
      </w:r>
    </w:p>
    <w:p>
      <w:pPr>
        <w:jc w:val="left"/>
        <w:rPr>
          <w:rFonts w:hAnsi="宋体"/>
          <w:bCs/>
          <w:color w:val="auto"/>
          <w:sz w:val="24"/>
          <w:szCs w:val="22"/>
        </w:rPr>
      </w:pPr>
      <w:r>
        <w:rPr>
          <w:rFonts w:hint="eastAsia" w:hAnsi="宋体"/>
          <w:bCs/>
          <w:color w:val="auto"/>
          <w:sz w:val="24"/>
          <w:szCs w:val="22"/>
        </w:rPr>
        <w:t>6.符合法律、</w:t>
      </w:r>
      <w:r>
        <w:rPr>
          <w:color w:val="auto"/>
        </w:rPr>
        <w:fldChar w:fldCharType="begin"/>
      </w:r>
      <w:r>
        <w:rPr>
          <w:color w:val="auto"/>
        </w:rPr>
        <w:instrText xml:space="preserve"> HYPERLINK "http://www.lawtime.cn/info/sifakaoshi/xingzhengfa/" \t "_blank" </w:instrText>
      </w:r>
      <w:r>
        <w:rPr>
          <w:color w:val="auto"/>
        </w:rPr>
        <w:fldChar w:fldCharType="separate"/>
      </w:r>
      <w:r>
        <w:rPr>
          <w:rFonts w:hint="eastAsia" w:hAnsi="宋体"/>
          <w:bCs/>
          <w:color w:val="auto"/>
          <w:sz w:val="24"/>
          <w:szCs w:val="22"/>
        </w:rPr>
        <w:t>行政法</w:t>
      </w:r>
      <w:r>
        <w:rPr>
          <w:rFonts w:hint="eastAsia" w:hAnsi="宋体"/>
          <w:bCs/>
          <w:color w:val="auto"/>
          <w:sz w:val="24"/>
          <w:szCs w:val="22"/>
        </w:rPr>
        <w:fldChar w:fldCharType="end"/>
      </w:r>
      <w:r>
        <w:rPr>
          <w:rFonts w:hint="eastAsia" w:hAnsi="宋体"/>
          <w:bCs/>
          <w:color w:val="auto"/>
          <w:sz w:val="24"/>
          <w:szCs w:val="22"/>
        </w:rPr>
        <w:t>规规定的其他条件【提供承诺函】；</w:t>
      </w:r>
    </w:p>
    <w:p>
      <w:pPr>
        <w:jc w:val="left"/>
        <w:rPr>
          <w:rFonts w:hint="eastAsia" w:ascii="宋体" w:hAnsi="宋体" w:eastAsia="宋体" w:cs="Times New Roman"/>
          <w:bCs/>
          <w:color w:val="auto"/>
          <w:sz w:val="24"/>
          <w:szCs w:val="22"/>
          <w:lang w:val="en-US" w:eastAsia="zh-CN"/>
        </w:rPr>
      </w:pPr>
      <w:r>
        <w:rPr>
          <w:rFonts w:hint="eastAsia" w:ascii="宋体" w:hAnsi="宋体" w:eastAsia="宋体" w:cs="Times New Roman"/>
          <w:bCs/>
          <w:color w:val="auto"/>
          <w:sz w:val="24"/>
          <w:szCs w:val="22"/>
          <w:lang w:val="en-US" w:eastAsia="zh-CN"/>
        </w:rPr>
        <w:t>7.供应商须符合《医疗器械监督管理条例》要求并提供供应商经营该产品的经营许可/经营备案证明材料。【1.提供证书复印件，如：“多证合一”查看营业执照复印件】；</w:t>
      </w:r>
    </w:p>
    <w:p>
      <w:pPr>
        <w:jc w:val="left"/>
        <w:rPr>
          <w:rFonts w:hint="eastAsia" w:ascii="宋体" w:hAnsi="宋体" w:eastAsia="宋体" w:cs="Times New Roman"/>
          <w:bCs/>
          <w:color w:val="auto"/>
          <w:sz w:val="24"/>
          <w:szCs w:val="22"/>
          <w:lang w:val="en-US" w:eastAsia="zh-CN"/>
        </w:rPr>
      </w:pPr>
      <w:r>
        <w:rPr>
          <w:rFonts w:hint="eastAsia" w:ascii="宋体" w:hAnsi="宋体" w:eastAsia="宋体" w:cs="Times New Roman"/>
          <w:bCs/>
          <w:color w:val="auto"/>
          <w:sz w:val="24"/>
          <w:szCs w:val="22"/>
          <w:lang w:val="en-US" w:eastAsia="zh-CN"/>
        </w:rPr>
        <w:t>8.供应商须承诺：所投产品符合国家和行业标准，所投产品如为医疗器械的须符合《医疗器械注册管理办法》要求并具有产品的注册/备案证明材料，承诺在每个产品第一次供货时向采购方提供产品相关证书并加盖供应商和制造厂家公章。【提供承诺函】</w:t>
      </w:r>
    </w:p>
    <w:p>
      <w:pPr>
        <w:adjustRightInd w:val="0"/>
        <w:snapToGrid w:val="0"/>
        <w:spacing w:line="360" w:lineRule="auto"/>
        <w:jc w:val="left"/>
        <w:rPr>
          <w:rFonts w:hAnsi="宋体" w:cs="宋体"/>
          <w:b/>
          <w:color w:val="auto"/>
          <w:sz w:val="24"/>
        </w:rPr>
      </w:pPr>
      <w:r>
        <w:rPr>
          <w:rFonts w:hint="eastAsia" w:ascii="宋体" w:hAnsi="宋体" w:eastAsia="宋体" w:cs="Times New Roman"/>
          <w:bCs/>
          <w:color w:val="auto"/>
          <w:sz w:val="24"/>
          <w:szCs w:val="22"/>
          <w:lang w:val="en-US" w:eastAsia="zh-CN"/>
        </w:rPr>
        <w:t>9.如所投产品在“四川省医疗保障信息大数据一体化平台药品和医用耗材招采管理子系统”进行备案的，在签订合同前向采购人提供截图。【提供承诺函】</w:t>
      </w:r>
    </w:p>
    <w:p>
      <w:pPr>
        <w:adjustRightInd w:val="0"/>
        <w:snapToGrid w:val="0"/>
        <w:spacing w:line="360" w:lineRule="auto"/>
        <w:jc w:val="left"/>
        <w:rPr>
          <w:rFonts w:hAnsi="宋体" w:cs="宋体"/>
          <w:b/>
          <w:color w:val="auto"/>
          <w:sz w:val="24"/>
        </w:rPr>
      </w:pPr>
      <w:r>
        <w:rPr>
          <w:rFonts w:hint="eastAsia" w:hAnsi="宋体" w:cs="宋体"/>
          <w:b/>
          <w:color w:val="auto"/>
          <w:sz w:val="24"/>
        </w:rPr>
        <w:t>二、供应商应提供的服务的资格、资质性及其他类似效力要求的相关证明材料</w:t>
      </w:r>
    </w:p>
    <w:p>
      <w:pPr>
        <w:adjustRightInd w:val="0"/>
        <w:snapToGrid w:val="0"/>
        <w:spacing w:line="360" w:lineRule="auto"/>
        <w:jc w:val="left"/>
        <w:rPr>
          <w:rFonts w:hAnsi="宋体" w:cs="宋体"/>
          <w:color w:val="auto"/>
          <w:sz w:val="24"/>
        </w:rPr>
      </w:pPr>
      <w:r>
        <w:rPr>
          <w:rFonts w:hint="eastAsia" w:hAnsi="宋体" w:cs="宋体"/>
          <w:color w:val="auto"/>
          <w:sz w:val="24"/>
        </w:rPr>
        <w:t>1.法定代表人/单位负责人身份证明材料复印件。</w:t>
      </w:r>
    </w:p>
    <w:p>
      <w:pPr>
        <w:adjustRightInd w:val="0"/>
        <w:snapToGrid w:val="0"/>
        <w:spacing w:line="360" w:lineRule="auto"/>
        <w:jc w:val="left"/>
        <w:rPr>
          <w:rFonts w:hAnsi="宋体" w:cs="宋体"/>
          <w:color w:val="auto"/>
          <w:sz w:val="24"/>
        </w:rPr>
      </w:pPr>
      <w:r>
        <w:rPr>
          <w:rFonts w:hint="eastAsia" w:hAnsi="宋体" w:cs="宋体"/>
          <w:color w:val="auto"/>
          <w:sz w:val="24"/>
        </w:rPr>
        <w:t>2.法定代表人/单位负责人授权代理书原件及代理人身份证明材料复印件（注：①法定代表人/单位负责人授权代理书原件需加盖公章；②如响应文件均由投标人法定代表人/单位负责人签字的且法定代表人/单位负责人本人参与投标的，则可不提供。）。</w:t>
      </w:r>
    </w:p>
    <w:p>
      <w:pPr>
        <w:pStyle w:val="3"/>
        <w:numPr>
          <w:ilvl w:val="0"/>
          <w:numId w:val="1"/>
        </w:numPr>
        <w:spacing w:line="360" w:lineRule="exact"/>
        <w:ind w:left="581" w:leftChars="171" w:right="537" w:rightChars="158"/>
        <w:jc w:val="center"/>
        <w:rPr>
          <w:rFonts w:ascii="宋体" w:hAnsi="宋体" w:eastAsia="宋体" w:cs="宋体"/>
          <w:color w:val="auto"/>
          <w:sz w:val="36"/>
          <w:szCs w:val="22"/>
        </w:rPr>
      </w:pPr>
      <w:r>
        <w:rPr>
          <w:rFonts w:hint="eastAsia" w:ascii="宋体" w:hAnsi="宋体" w:eastAsia="宋体" w:cs="宋体"/>
          <w:bCs/>
          <w:color w:val="auto"/>
          <w:sz w:val="36"/>
        </w:rPr>
        <w:br w:type="page"/>
      </w:r>
      <w:bookmarkStart w:id="154" w:name="_Toc331850068"/>
      <w:bookmarkStart w:id="155" w:name="_Toc8678_WPSOffice_Level1"/>
      <w:bookmarkStart w:id="156" w:name="_Toc5443"/>
      <w:r>
        <w:rPr>
          <w:rFonts w:hint="eastAsia" w:ascii="宋体" w:hAnsi="宋体" w:eastAsia="宋体" w:cs="宋体"/>
          <w:color w:val="auto"/>
          <w:sz w:val="36"/>
          <w:szCs w:val="22"/>
        </w:rPr>
        <w:t>比选项目服务及其他要求</w:t>
      </w:r>
      <w:bookmarkEnd w:id="140"/>
      <w:bookmarkEnd w:id="154"/>
      <w:bookmarkEnd w:id="155"/>
      <w:bookmarkEnd w:id="156"/>
      <w:bookmarkStart w:id="157" w:name="_Toc217446096"/>
      <w:bookmarkStart w:id="158" w:name="_Toc331850073"/>
    </w:p>
    <w:p>
      <w:pPr>
        <w:pStyle w:val="17"/>
        <w:rPr>
          <w:color w:val="auto"/>
          <w:sz w:val="24"/>
          <w:szCs w:val="24"/>
        </w:rPr>
      </w:pPr>
      <w:r>
        <w:rPr>
          <w:rFonts w:hint="eastAsia"/>
          <w:b/>
          <w:bCs/>
          <w:color w:val="auto"/>
          <w:sz w:val="24"/>
          <w:szCs w:val="24"/>
        </w:rPr>
        <w:t>一、项目概述</w:t>
      </w:r>
    </w:p>
    <w:p>
      <w:pPr>
        <w:pStyle w:val="17"/>
        <w:ind w:firstLine="480" w:firstLineChars="200"/>
        <w:rPr>
          <w:color w:val="auto"/>
        </w:rPr>
      </w:pPr>
      <w:r>
        <w:rPr>
          <w:rFonts w:hint="eastAsia" w:hAnsi="宋体"/>
          <w:bCs/>
          <w:color w:val="auto"/>
          <w:sz w:val="24"/>
        </w:rPr>
        <w:t>1.本项目</w:t>
      </w:r>
      <w:r>
        <w:rPr>
          <w:rFonts w:hint="eastAsia" w:hAnsi="宋体"/>
          <w:bCs/>
          <w:color w:val="auto"/>
          <w:sz w:val="24"/>
          <w:lang w:val="en-US" w:eastAsia="zh-CN"/>
        </w:rPr>
        <w:t>2</w:t>
      </w:r>
      <w:r>
        <w:rPr>
          <w:rFonts w:hint="eastAsia" w:hAnsi="宋体"/>
          <w:bCs/>
          <w:color w:val="auto"/>
          <w:sz w:val="24"/>
        </w:rPr>
        <w:t>个包，拟采购</w:t>
      </w:r>
      <w:r>
        <w:rPr>
          <w:rFonts w:hint="eastAsia" w:hAnsi="宋体"/>
          <w:bCs/>
          <w:color w:val="auto"/>
          <w:sz w:val="24"/>
          <w:lang w:val="en-US"/>
        </w:rPr>
        <w:t>检验试剂</w:t>
      </w:r>
      <w:r>
        <w:rPr>
          <w:rFonts w:hint="eastAsia" w:hAnsi="宋体"/>
          <w:bCs/>
          <w:color w:val="auto"/>
          <w:sz w:val="24"/>
          <w:lang w:val="en-US" w:eastAsia="zh-CN"/>
        </w:rPr>
        <w:t>1批，分别采购供应商1名提供配送服务</w:t>
      </w:r>
      <w:r>
        <w:rPr>
          <w:rFonts w:hint="eastAsia" w:hAnsi="宋体"/>
          <w:bCs/>
          <w:color w:val="auto"/>
          <w:sz w:val="24"/>
        </w:rPr>
        <w:t>。（具体要求详见比选文件第五章)</w:t>
      </w:r>
    </w:p>
    <w:tbl>
      <w:tblPr>
        <w:tblStyle w:val="37"/>
        <w:tblW w:w="5395" w:type="pct"/>
        <w:tblInd w:w="-293"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784"/>
        <w:gridCol w:w="1112"/>
        <w:gridCol w:w="1990"/>
        <w:gridCol w:w="2454"/>
        <w:gridCol w:w="3487"/>
        <w:gridCol w:w="111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包号</w:t>
            </w:r>
          </w:p>
        </w:tc>
        <w:tc>
          <w:tcPr>
            <w:tcW w:w="50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909"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112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服务期限</w:t>
            </w:r>
          </w:p>
        </w:tc>
        <w:tc>
          <w:tcPr>
            <w:tcW w:w="1593"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检验试剂类别</w:t>
            </w:r>
          </w:p>
        </w:tc>
        <w:tc>
          <w:tcPr>
            <w:tcW w:w="50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01</w:t>
            </w:r>
          </w:p>
        </w:tc>
        <w:tc>
          <w:tcPr>
            <w:tcW w:w="508" w:type="pct"/>
            <w:tcBorders>
              <w:tl2br w:val="nil"/>
              <w:tr2bl w:val="nil"/>
            </w:tcBorders>
            <w:noWrap/>
            <w:vAlign w:val="center"/>
          </w:tcPr>
          <w:p>
            <w:pPr>
              <w:keepNext w:val="0"/>
              <w:keepLines w:val="0"/>
              <w:widowControl/>
              <w:suppressLineNumbers w:val="0"/>
              <w:jc w:val="center"/>
              <w:textAlignment w:val="center"/>
              <w:rPr>
                <w:rFonts w:hint="eastAsia" w:hAnsi="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909"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检验试剂配送1</w:t>
            </w:r>
          </w:p>
        </w:tc>
        <w:tc>
          <w:tcPr>
            <w:tcW w:w="112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合同签订之日起3年</w:t>
            </w:r>
          </w:p>
        </w:tc>
        <w:tc>
          <w:tcPr>
            <w:tcW w:w="1593" w:type="pct"/>
            <w:tcBorders>
              <w:tl2br w:val="nil"/>
              <w:tr2bl w:val="nil"/>
            </w:tcBorders>
            <w:noWrap/>
            <w:vAlign w:val="center"/>
          </w:tcPr>
          <w:p>
            <w:pPr>
              <w:jc w:val="center"/>
              <w:rPr>
                <w:rFonts w:hint="default" w:ascii="宋体" w:hAnsi="宋体" w:eastAsia="宋体" w:cs="宋体"/>
                <w:b w:val="0"/>
                <w:bCs w:val="0"/>
                <w:i w:val="0"/>
                <w:iCs w:val="0"/>
                <w:color w:val="auto"/>
                <w:sz w:val="21"/>
                <w:szCs w:val="21"/>
                <w:u w:val="none"/>
                <w:lang w:val="en-US" w:eastAsia="zh-CN"/>
              </w:rPr>
            </w:pPr>
            <w:r>
              <w:rPr>
                <w:rFonts w:hint="default" w:ascii="宋体" w:hAnsi="宋体" w:eastAsia="宋体" w:cs="宋体"/>
                <w:b w:val="0"/>
                <w:bCs w:val="0"/>
                <w:i w:val="0"/>
                <w:iCs w:val="0"/>
                <w:color w:val="auto"/>
                <w:sz w:val="21"/>
                <w:szCs w:val="21"/>
                <w:u w:val="none"/>
                <w:lang w:val="en-US" w:eastAsia="zh-CN"/>
              </w:rPr>
              <w:t>微生物</w:t>
            </w:r>
            <w:r>
              <w:rPr>
                <w:rFonts w:hint="eastAsia" w:hAnsi="宋体" w:cs="宋体"/>
                <w:b w:val="0"/>
                <w:bCs w:val="0"/>
                <w:i w:val="0"/>
                <w:iCs w:val="0"/>
                <w:color w:val="auto"/>
                <w:sz w:val="21"/>
                <w:szCs w:val="21"/>
                <w:u w:val="none"/>
                <w:lang w:val="en-US" w:eastAsia="zh-CN"/>
              </w:rPr>
              <w:t>、输血、临检、分子</w:t>
            </w:r>
          </w:p>
        </w:tc>
        <w:tc>
          <w:tcPr>
            <w:tcW w:w="508"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02</w:t>
            </w:r>
          </w:p>
        </w:tc>
        <w:tc>
          <w:tcPr>
            <w:tcW w:w="50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02</w:t>
            </w:r>
            <w:r>
              <w:rPr>
                <w:rFonts w:hint="eastAsia" w:ascii="宋体" w:hAnsi="宋体" w:eastAsia="宋体" w:cs="宋体"/>
                <w:b w:val="0"/>
                <w:bCs w:val="0"/>
                <w:i w:val="0"/>
                <w:iCs w:val="0"/>
                <w:color w:val="auto"/>
                <w:kern w:val="0"/>
                <w:sz w:val="21"/>
                <w:szCs w:val="21"/>
                <w:u w:val="none"/>
                <w:lang w:val="en-US" w:eastAsia="zh-CN" w:bidi="ar"/>
              </w:rPr>
              <w:t>-</w:t>
            </w:r>
            <w:r>
              <w:rPr>
                <w:rFonts w:hint="eastAsia" w:hAnsi="宋体" w:cs="宋体"/>
                <w:b w:val="0"/>
                <w:bCs w:val="0"/>
                <w:i w:val="0"/>
                <w:iCs w:val="0"/>
                <w:color w:val="auto"/>
                <w:kern w:val="0"/>
                <w:sz w:val="21"/>
                <w:szCs w:val="21"/>
                <w:u w:val="none"/>
                <w:lang w:val="en-US" w:eastAsia="zh-CN" w:bidi="ar"/>
              </w:rPr>
              <w:t>01</w:t>
            </w:r>
          </w:p>
        </w:tc>
        <w:tc>
          <w:tcPr>
            <w:tcW w:w="909"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检验试剂配送2</w:t>
            </w:r>
          </w:p>
        </w:tc>
        <w:tc>
          <w:tcPr>
            <w:tcW w:w="11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合同签订之日起3年</w:t>
            </w:r>
          </w:p>
        </w:tc>
        <w:tc>
          <w:tcPr>
            <w:tcW w:w="1593"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rPr>
              <w:t>免疫</w:t>
            </w:r>
            <w:r>
              <w:rPr>
                <w:rFonts w:hint="eastAsia" w:hAnsi="宋体" w:cs="宋体"/>
                <w:b w:val="0"/>
                <w:bCs w:val="0"/>
                <w:i w:val="0"/>
                <w:iCs w:val="0"/>
                <w:color w:val="auto"/>
                <w:sz w:val="21"/>
                <w:szCs w:val="21"/>
                <w:u w:val="none"/>
                <w:lang w:eastAsia="zh-CN"/>
              </w:rPr>
              <w:t>、生化</w:t>
            </w:r>
          </w:p>
        </w:tc>
        <w:tc>
          <w:tcPr>
            <w:tcW w:w="508"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bl>
    <w:p>
      <w:pPr>
        <w:pStyle w:val="17"/>
        <w:rPr>
          <w:rFonts w:hint="eastAsia"/>
          <w:b/>
          <w:bCs/>
          <w:color w:val="auto"/>
          <w:sz w:val="24"/>
          <w:szCs w:val="24"/>
        </w:rPr>
      </w:pPr>
    </w:p>
    <w:p>
      <w:pPr>
        <w:pStyle w:val="17"/>
        <w:rPr>
          <w:rFonts w:hint="eastAsia"/>
          <w:b/>
          <w:bCs/>
          <w:color w:val="auto"/>
          <w:sz w:val="24"/>
          <w:szCs w:val="24"/>
        </w:rPr>
      </w:pPr>
      <w:r>
        <w:rPr>
          <w:rFonts w:hint="eastAsia"/>
          <w:b/>
          <w:bCs/>
          <w:color w:val="auto"/>
          <w:sz w:val="24"/>
          <w:szCs w:val="24"/>
        </w:rPr>
        <w:t>二、商务条款</w:t>
      </w:r>
    </w:p>
    <w:p>
      <w:pPr>
        <w:adjustRightInd w:val="0"/>
        <w:spacing w:line="240" w:lineRule="auto"/>
        <w:rPr>
          <w:rFonts w:hint="eastAsia" w:ascii="宋体" w:hAnsi="宋体" w:eastAsia="宋体" w:cs="宋体"/>
          <w:b/>
          <w:bCs/>
          <w:color w:val="auto"/>
          <w:sz w:val="24"/>
          <w:szCs w:val="24"/>
          <w:lang w:val="zh-CN" w:eastAsia="zh-CN" w:bidi="ar-SA"/>
        </w:rPr>
      </w:pPr>
      <w:r>
        <w:rPr>
          <w:rFonts w:hint="eastAsia" w:ascii="宋体" w:hAnsi="宋体" w:eastAsia="宋体" w:cs="宋体"/>
          <w:b/>
          <w:bCs/>
          <w:color w:val="auto"/>
          <w:sz w:val="24"/>
          <w:szCs w:val="24"/>
          <w:lang w:val="zh-CN" w:eastAsia="zh-CN" w:bidi="ar-SA"/>
        </w:rPr>
        <w:t>1.</w:t>
      </w:r>
      <w:r>
        <w:rPr>
          <w:rFonts w:hint="eastAsia" w:ascii="宋体" w:hAnsi="宋体" w:eastAsia="宋体" w:cs="宋体"/>
          <w:b/>
          <w:bCs/>
          <w:color w:val="auto"/>
          <w:sz w:val="24"/>
          <w:szCs w:val="24"/>
          <w:lang w:val="en-US" w:eastAsia="zh-CN" w:bidi="ar-SA"/>
        </w:rPr>
        <w:t>服务</w:t>
      </w:r>
      <w:r>
        <w:rPr>
          <w:rFonts w:hint="eastAsia" w:ascii="宋体" w:hAnsi="宋体" w:eastAsia="宋体" w:cs="宋体"/>
          <w:b/>
          <w:bCs/>
          <w:color w:val="auto"/>
          <w:sz w:val="24"/>
          <w:szCs w:val="24"/>
          <w:lang w:val="zh-CN" w:eastAsia="zh-CN" w:bidi="ar-SA"/>
        </w:rPr>
        <w:t>期、地点及质保期</w:t>
      </w:r>
    </w:p>
    <w:p>
      <w:pPr>
        <w:adjustRightInd w:val="0"/>
        <w:spacing w:line="240" w:lineRule="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bidi="ar-SA"/>
        </w:rPr>
        <w:t>1.1 服务期：合同签订</w:t>
      </w:r>
      <w:r>
        <w:rPr>
          <w:rFonts w:hint="eastAsia" w:ascii="宋体" w:hAnsi="宋体" w:eastAsia="宋体" w:cs="宋体"/>
          <w:b w:val="0"/>
          <w:bCs w:val="0"/>
          <w:color w:val="auto"/>
          <w:sz w:val="24"/>
          <w:szCs w:val="24"/>
          <w:lang w:val="en-US" w:eastAsia="zh-CN" w:bidi="ar-SA"/>
        </w:rPr>
        <w:t>之日起3</w:t>
      </w:r>
      <w:r>
        <w:rPr>
          <w:rFonts w:hint="eastAsia" w:ascii="宋体" w:hAnsi="宋体" w:eastAsia="宋体" w:cs="宋体"/>
          <w:b w:val="0"/>
          <w:bCs w:val="0"/>
          <w:color w:val="auto"/>
          <w:sz w:val="24"/>
          <w:szCs w:val="24"/>
          <w:lang w:val="zh-CN" w:eastAsia="zh-CN" w:bidi="ar-SA"/>
        </w:rPr>
        <w:t>年。</w:t>
      </w:r>
    </w:p>
    <w:p>
      <w:pPr>
        <w:adjustRightInd w:val="0"/>
        <w:spacing w:line="240" w:lineRule="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bidi="ar-SA"/>
        </w:rPr>
        <w:t xml:space="preserve">1.2 </w:t>
      </w:r>
      <w:r>
        <w:rPr>
          <w:rFonts w:hint="eastAsia" w:ascii="宋体" w:hAnsi="宋体" w:eastAsia="宋体" w:cs="宋体"/>
          <w:b w:val="0"/>
          <w:bCs w:val="0"/>
          <w:color w:val="auto"/>
          <w:sz w:val="24"/>
          <w:szCs w:val="24"/>
          <w:lang w:val="en-US" w:eastAsia="zh-CN" w:bidi="ar-SA"/>
        </w:rPr>
        <w:t>服务</w:t>
      </w:r>
      <w:r>
        <w:rPr>
          <w:rFonts w:hint="eastAsia" w:ascii="宋体" w:hAnsi="宋体" w:eastAsia="宋体" w:cs="宋体"/>
          <w:b w:val="0"/>
          <w:bCs w:val="0"/>
          <w:color w:val="auto"/>
          <w:sz w:val="24"/>
          <w:szCs w:val="24"/>
          <w:lang w:val="zh-CN" w:eastAsia="zh-CN" w:bidi="ar-SA"/>
        </w:rPr>
        <w:t>地点:</w:t>
      </w:r>
      <w:r>
        <w:rPr>
          <w:rFonts w:hint="eastAsia" w:ascii="宋体" w:hAnsi="宋体" w:eastAsia="宋体" w:cs="宋体"/>
          <w:b w:val="0"/>
          <w:bCs w:val="0"/>
          <w:color w:val="auto"/>
          <w:sz w:val="24"/>
          <w:szCs w:val="24"/>
          <w:lang w:val="en-US" w:eastAsia="zh-CN" w:bidi="ar-SA"/>
        </w:rPr>
        <w:t>古蔺县中医医院院内</w:t>
      </w:r>
      <w:r>
        <w:rPr>
          <w:rFonts w:hint="eastAsia" w:ascii="宋体" w:hAnsi="宋体" w:eastAsia="宋体" w:cs="宋体"/>
          <w:b w:val="0"/>
          <w:bCs w:val="0"/>
          <w:color w:val="auto"/>
          <w:sz w:val="24"/>
          <w:szCs w:val="24"/>
          <w:lang w:val="zh-CN" w:eastAsia="zh-CN" w:bidi="ar-SA"/>
        </w:rPr>
        <w:t>。</w:t>
      </w:r>
    </w:p>
    <w:p>
      <w:pPr>
        <w:adjustRightInd w:val="0"/>
        <w:spacing w:line="240" w:lineRule="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zh-CN" w:eastAsia="zh-CN" w:bidi="ar-SA"/>
        </w:rPr>
        <w:t>1.3质保期：</w:t>
      </w:r>
      <w:r>
        <w:rPr>
          <w:rFonts w:hint="eastAsia" w:ascii="宋体" w:hAnsi="宋体" w:eastAsia="宋体" w:cs="宋体"/>
          <w:b/>
          <w:bCs/>
          <w:color w:val="auto"/>
          <w:sz w:val="24"/>
          <w:szCs w:val="24"/>
          <w:lang w:val="en-US" w:eastAsia="zh-CN" w:bidi="ar-SA"/>
        </w:rPr>
        <w:t>所有试剂交付至采购人处时，其质保时间不得少于总质保期的2/3 。</w:t>
      </w:r>
    </w:p>
    <w:p>
      <w:pPr>
        <w:adjustRightInd w:val="0"/>
        <w:spacing w:line="240" w:lineRule="auto"/>
        <w:rPr>
          <w:rFonts w:hint="eastAsia" w:ascii="宋体" w:hAnsi="宋体" w:eastAsia="宋体" w:cs="宋体"/>
          <w:color w:val="auto"/>
          <w:sz w:val="24"/>
          <w:szCs w:val="24"/>
          <w:lang w:val="zh-CN" w:eastAsia="zh-CN" w:bidi="ar-SA"/>
        </w:rPr>
      </w:pPr>
      <w:r>
        <w:rPr>
          <w:rFonts w:hint="eastAsia" w:ascii="宋体" w:hAnsi="宋体" w:eastAsia="宋体" w:cs="宋体"/>
          <w:b/>
          <w:bCs/>
          <w:color w:val="auto"/>
          <w:sz w:val="24"/>
          <w:szCs w:val="24"/>
          <w:lang w:val="en-US" w:eastAsia="zh-CN" w:bidi="ar-SA"/>
        </w:rPr>
        <w:t>2.结算方式</w:t>
      </w:r>
    </w:p>
    <w:p>
      <w:pPr>
        <w:adjustRightInd w:val="0"/>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2.1.按月计价（实际到货后按3个月周期进行滚动付费）；</w:t>
      </w:r>
    </w:p>
    <w:p>
      <w:pPr>
        <w:adjustRightInd w:val="0"/>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lang w:eastAsia="zh-CN"/>
        </w:rPr>
        <w:t>单品实际结算金额</w:t>
      </w:r>
      <w:r>
        <w:rPr>
          <w:rFonts w:hint="eastAsia" w:ascii="宋体" w:hAnsi="宋体" w:eastAsia="宋体" w:cs="宋体"/>
          <w:b/>
          <w:bCs/>
          <w:color w:val="auto"/>
          <w:sz w:val="24"/>
          <w:szCs w:val="24"/>
          <w:lang w:val="en-US" w:eastAsia="zh-CN"/>
        </w:rPr>
        <w:t>=本项目单品基础价*（1-中选下浮率），月实际结算金额=</w:t>
      </w:r>
      <w:r>
        <w:rPr>
          <w:rFonts w:hint="eastAsia" w:ascii="宋体" w:hAnsi="宋体" w:eastAsia="宋体" w:cs="宋体"/>
          <w:b/>
          <w:bCs/>
          <w:color w:val="auto"/>
          <w:sz w:val="24"/>
          <w:szCs w:val="24"/>
          <w:lang w:eastAsia="zh-CN"/>
        </w:rPr>
        <w:t>∑各单品实际结算金额</w:t>
      </w:r>
      <w:r>
        <w:rPr>
          <w:rFonts w:hint="eastAsia" w:ascii="宋体" w:hAnsi="宋体" w:eastAsia="宋体" w:cs="宋体"/>
          <w:b/>
          <w:bCs/>
          <w:color w:val="auto"/>
          <w:sz w:val="24"/>
          <w:szCs w:val="24"/>
          <w:lang w:val="en-US" w:eastAsia="zh-CN"/>
        </w:rPr>
        <w:t>*实际供货数量</w:t>
      </w:r>
      <w:r>
        <w:rPr>
          <w:rFonts w:hint="eastAsia" w:ascii="宋体" w:hAnsi="宋体" w:eastAsia="宋体" w:cs="宋体"/>
          <w:color w:val="auto"/>
          <w:sz w:val="24"/>
          <w:szCs w:val="24"/>
          <w:lang w:val="en-US" w:eastAsia="zh-CN"/>
        </w:rPr>
        <w:t>。</w:t>
      </w:r>
    </w:p>
    <w:p>
      <w:pPr>
        <w:adjustRightInd w:val="0"/>
        <w:spacing w:line="24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本项目单品基础价：</w:t>
      </w:r>
    </w:p>
    <w:p>
      <w:pPr>
        <w:adjustRightInd w:val="0"/>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2.3.1.有明确价格的以给出的价格作为基础价；</w:t>
      </w:r>
      <w:r>
        <w:rPr>
          <w:rFonts w:hint="eastAsia" w:ascii="宋体" w:hAnsi="宋体" w:eastAsia="宋体" w:cs="宋体"/>
          <w:b/>
          <w:bCs/>
          <w:color w:val="auto"/>
          <w:sz w:val="24"/>
          <w:szCs w:val="24"/>
          <w:lang w:val="en-US" w:eastAsia="zh-CN" w:bidi="ar-SA"/>
        </w:rPr>
        <w:t>未给出明确价格（技术服务要求中写的按当月挂网价执行）</w:t>
      </w:r>
      <w:r>
        <w:rPr>
          <w:rFonts w:hint="eastAsia" w:ascii="宋体" w:hAnsi="宋体" w:eastAsia="宋体" w:cs="宋体"/>
          <w:color w:val="auto"/>
          <w:sz w:val="24"/>
          <w:szCs w:val="24"/>
          <w:lang w:val="en-US" w:eastAsia="zh-CN" w:bidi="ar-SA"/>
        </w:rPr>
        <w:t>的产品的结算依据为：在“四川省医疗保障信息大数据一体化平台药品和医用耗材招采管理子系统”公布的“截止上月末全省医疗机构采购加权平均价”、“联动参考价”、“我省最高参考价”中取三者最低价作为基础价。</w:t>
      </w:r>
    </w:p>
    <w:p>
      <w:pPr>
        <w:adjustRightInd w:val="0"/>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bidi="ar-SA"/>
        </w:rPr>
        <w:t>2.3.2.比选</w:t>
      </w:r>
      <w:r>
        <w:rPr>
          <w:rFonts w:hint="eastAsia" w:ascii="宋体" w:hAnsi="宋体" w:eastAsia="宋体" w:cs="宋体"/>
          <w:color w:val="auto"/>
          <w:sz w:val="24"/>
          <w:szCs w:val="24"/>
          <w:lang w:val="zh-CN" w:eastAsia="zh-CN" w:bidi="ar-SA"/>
        </w:rPr>
        <w:t>人支付货款时，中选</w:t>
      </w:r>
      <w:r>
        <w:rPr>
          <w:rFonts w:hint="eastAsia" w:ascii="宋体" w:hAnsi="宋体" w:eastAsia="宋体" w:cs="宋体"/>
          <w:color w:val="auto"/>
          <w:sz w:val="24"/>
          <w:szCs w:val="24"/>
          <w:lang w:val="en-US" w:eastAsia="zh-CN" w:bidi="ar-SA"/>
        </w:rPr>
        <w:t>人</w:t>
      </w:r>
      <w:r>
        <w:rPr>
          <w:rFonts w:hint="eastAsia" w:ascii="宋体" w:hAnsi="宋体" w:eastAsia="宋体" w:cs="宋体"/>
          <w:color w:val="auto"/>
          <w:sz w:val="24"/>
          <w:szCs w:val="24"/>
          <w:lang w:val="zh-CN" w:eastAsia="zh-CN" w:bidi="ar-SA"/>
        </w:rPr>
        <w:t>应按</w:t>
      </w:r>
      <w:r>
        <w:rPr>
          <w:rFonts w:hint="eastAsia" w:ascii="宋体" w:hAnsi="宋体" w:eastAsia="宋体" w:cs="宋体"/>
          <w:color w:val="auto"/>
          <w:sz w:val="24"/>
          <w:szCs w:val="24"/>
          <w:lang w:val="en-US" w:eastAsia="zh-CN" w:bidi="ar-SA"/>
        </w:rPr>
        <w:t>比选</w:t>
      </w:r>
      <w:r>
        <w:rPr>
          <w:rFonts w:hint="eastAsia" w:ascii="宋体" w:hAnsi="宋体" w:eastAsia="宋体" w:cs="宋体"/>
          <w:color w:val="auto"/>
          <w:sz w:val="24"/>
          <w:szCs w:val="24"/>
          <w:lang w:val="zh-CN" w:eastAsia="zh-CN" w:bidi="ar-SA"/>
        </w:rPr>
        <w:t>人的要求提供正规的发票。</w:t>
      </w:r>
    </w:p>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3.报价要求：</w:t>
      </w:r>
    </w:p>
    <w:p>
      <w:pPr>
        <w:spacing w:line="240" w:lineRule="auto"/>
        <w:rPr>
          <w:rFonts w:hint="default" w:hAnsi="宋体" w:cs="宋体"/>
          <w:b/>
          <w:bCs/>
          <w:color w:val="auto"/>
          <w:sz w:val="24"/>
          <w:szCs w:val="24"/>
          <w:lang w:val="en-US" w:eastAsia="zh-CN"/>
        </w:rPr>
      </w:pPr>
      <w:r>
        <w:rPr>
          <w:rFonts w:hint="eastAsia" w:hAnsi="宋体" w:cs="宋体"/>
          <w:b/>
          <w:bCs/>
          <w:color w:val="auto"/>
          <w:sz w:val="24"/>
          <w:szCs w:val="24"/>
          <w:lang w:val="en-US" w:eastAsia="zh-CN"/>
        </w:rPr>
        <w:t>3.1.供应商的报价分为两部分：技术服务要求中标注“按当月挂网价执行”和“明确了最高限价的产品”，两部分分别以下浮率进行报价且各自部分内的所有产品的下浮率须保持一致。</w:t>
      </w:r>
    </w:p>
    <w:p>
      <w:pPr>
        <w:spacing w:line="240" w:lineRule="auto"/>
        <w:rPr>
          <w:rFonts w:hint="eastAsia" w:ascii="宋体" w:hAnsi="宋体" w:eastAsia="宋体" w:cs="宋体"/>
          <w:color w:val="auto"/>
          <w:sz w:val="24"/>
          <w:szCs w:val="24"/>
          <w:lang w:val="en-US" w:eastAsia="zh-CN" w:bidi="ar-SA"/>
        </w:rPr>
      </w:pPr>
      <w:r>
        <w:rPr>
          <w:rFonts w:hint="default" w:hAnsi="宋体" w:cs="宋体"/>
          <w:b/>
          <w:bCs/>
          <w:color w:val="auto"/>
          <w:sz w:val="24"/>
          <w:szCs w:val="24"/>
          <w:lang w:val="en-US" w:eastAsia="zh-CN"/>
        </w:rPr>
        <w:t>3.</w:t>
      </w:r>
      <w:r>
        <w:rPr>
          <w:rFonts w:hint="eastAsia" w:hAnsi="宋体" w:cs="宋体"/>
          <w:b/>
          <w:bCs/>
          <w:color w:val="auto"/>
          <w:sz w:val="24"/>
          <w:szCs w:val="24"/>
          <w:lang w:val="en-US" w:eastAsia="zh-CN"/>
        </w:rPr>
        <w:t>2</w:t>
      </w:r>
      <w:r>
        <w:rPr>
          <w:rFonts w:hint="default" w:hAnsi="宋体" w:cs="宋体"/>
          <w:b/>
          <w:bCs/>
          <w:color w:val="auto"/>
          <w:sz w:val="24"/>
          <w:szCs w:val="24"/>
          <w:lang w:val="en-US" w:eastAsia="zh-CN"/>
        </w:rPr>
        <w:t>.</w:t>
      </w:r>
      <w:r>
        <w:rPr>
          <w:rFonts w:hint="eastAsia" w:ascii="宋体" w:hAnsi="宋体" w:eastAsia="宋体" w:cs="宋体"/>
          <w:color w:val="auto"/>
          <w:sz w:val="24"/>
          <w:szCs w:val="24"/>
          <w:lang w:val="en-US" w:eastAsia="zh-CN" w:bidi="ar-SA"/>
        </w:rPr>
        <w:t>供应商的报价包含：货物生产成本，运输，保险，售后，税费，人工服务费，利润等所有费用，采购人不再额外支付其他费用。</w:t>
      </w:r>
    </w:p>
    <w:p>
      <w:pPr>
        <w:spacing w:line="240" w:lineRule="auto"/>
        <w:rPr>
          <w:rFonts w:hint="default" w:ascii="宋体" w:hAnsi="宋体" w:eastAsia="宋体" w:cs="宋体"/>
          <w:color w:val="auto"/>
          <w:sz w:val="24"/>
          <w:szCs w:val="24"/>
          <w:lang w:val="en-US" w:eastAsia="zh-CN" w:bidi="ar-SA"/>
        </w:rPr>
      </w:pPr>
      <w:r>
        <w:rPr>
          <w:rFonts w:hint="default" w:hAnsi="宋体" w:cs="宋体"/>
          <w:color w:val="auto"/>
          <w:sz w:val="24"/>
          <w:szCs w:val="24"/>
          <w:lang w:val="en-US" w:eastAsia="zh-CN" w:bidi="ar-SA"/>
        </w:rPr>
        <w:t>3.</w:t>
      </w:r>
      <w:r>
        <w:rPr>
          <w:rFonts w:hint="eastAsia" w:hAnsi="宋体" w:cs="宋体"/>
          <w:color w:val="auto"/>
          <w:sz w:val="24"/>
          <w:szCs w:val="24"/>
          <w:lang w:val="en-US" w:eastAsia="zh-CN" w:bidi="ar-SA"/>
        </w:rPr>
        <w:t>3</w:t>
      </w:r>
      <w:r>
        <w:rPr>
          <w:rFonts w:hint="default" w:hAnsi="宋体" w:cs="宋体"/>
          <w:color w:val="auto"/>
          <w:sz w:val="24"/>
          <w:szCs w:val="24"/>
          <w:lang w:val="en-US" w:eastAsia="zh-CN" w:bidi="ar-SA"/>
        </w:rPr>
        <w:t>.本次技术服务要求中</w:t>
      </w:r>
      <w:r>
        <w:rPr>
          <w:rFonts w:hint="eastAsia" w:hAnsi="宋体" w:cs="宋体"/>
          <w:color w:val="auto"/>
          <w:sz w:val="24"/>
          <w:szCs w:val="24"/>
          <w:lang w:val="en-US" w:eastAsia="zh-CN" w:bidi="ar-SA"/>
        </w:rPr>
        <w:t>列明</w:t>
      </w:r>
      <w:r>
        <w:rPr>
          <w:rFonts w:hint="default" w:hAnsi="宋体" w:cs="宋体"/>
          <w:color w:val="auto"/>
          <w:sz w:val="24"/>
          <w:szCs w:val="24"/>
          <w:lang w:val="en-US" w:eastAsia="zh-CN" w:bidi="ar-SA"/>
        </w:rPr>
        <w:t>的规格型号只做参考，供应商可根据实际情况提供，但</w:t>
      </w:r>
      <w:r>
        <w:rPr>
          <w:rFonts w:hint="eastAsia" w:hAnsi="宋体" w:cs="宋体"/>
          <w:color w:val="auto"/>
          <w:sz w:val="24"/>
          <w:szCs w:val="24"/>
          <w:lang w:val="en-US" w:eastAsia="zh-CN" w:bidi="ar-SA"/>
        </w:rPr>
        <w:t>供应商须承诺：所投试剂</w:t>
      </w:r>
      <w:r>
        <w:rPr>
          <w:rFonts w:hint="default" w:hAnsi="宋体" w:cs="宋体"/>
          <w:color w:val="auto"/>
          <w:sz w:val="24"/>
          <w:szCs w:val="24"/>
          <w:lang w:val="en-US" w:eastAsia="zh-CN" w:bidi="ar-SA"/>
        </w:rPr>
        <w:t>能匹配采购人现有设备使用</w:t>
      </w:r>
      <w:r>
        <w:rPr>
          <w:rFonts w:hint="eastAsia" w:hAnsi="宋体" w:cs="宋体"/>
          <w:color w:val="auto"/>
          <w:sz w:val="24"/>
          <w:szCs w:val="24"/>
          <w:lang w:val="en-US" w:eastAsia="zh-CN" w:bidi="ar-SA"/>
        </w:rPr>
        <w:t>，所投</w:t>
      </w:r>
      <w:r>
        <w:rPr>
          <w:rFonts w:hint="default" w:hAnsi="宋体" w:cs="宋体"/>
          <w:color w:val="auto"/>
          <w:sz w:val="24"/>
          <w:szCs w:val="24"/>
          <w:lang w:val="en-US" w:eastAsia="zh-CN" w:bidi="ar-SA"/>
        </w:rPr>
        <w:t>的非挂网产品</w:t>
      </w:r>
      <w:r>
        <w:rPr>
          <w:rFonts w:hint="eastAsia" w:hAnsi="宋体" w:cs="宋体"/>
          <w:color w:val="auto"/>
          <w:sz w:val="24"/>
          <w:szCs w:val="24"/>
          <w:lang w:val="en-US" w:eastAsia="zh-CN" w:bidi="ar-SA"/>
        </w:rPr>
        <w:t>（已明确最高限价的产品）</w:t>
      </w:r>
      <w:r>
        <w:rPr>
          <w:rFonts w:hint="default" w:hAnsi="宋体" w:cs="宋体"/>
          <w:color w:val="auto"/>
          <w:sz w:val="24"/>
          <w:szCs w:val="24"/>
          <w:lang w:val="en-US" w:eastAsia="zh-CN" w:bidi="ar-SA"/>
        </w:rPr>
        <w:t>包装规格不低于本次需求产品包装规格。</w:t>
      </w:r>
      <w:r>
        <w:rPr>
          <w:rFonts w:hint="eastAsia" w:hAnsi="宋体" w:cs="宋体"/>
          <w:b/>
          <w:bCs/>
          <w:color w:val="auto"/>
          <w:sz w:val="24"/>
          <w:szCs w:val="24"/>
          <w:lang w:val="en-US" w:eastAsia="zh-CN" w:bidi="ar-SA"/>
        </w:rPr>
        <w:t>【在响应文件中单独提供承诺函】</w:t>
      </w:r>
    </w:p>
    <w:p>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所投产品须符合国家和省级相关耗材的规定，如因政策性因素调整，中选人须按新的国家和省级政策（国家级带量议价、省级耗材相关政策等）执行。在供货期间，如因国家和省级政策发生变化，采购人有权终止合同并不承担任何法律责任及经济赔偿，现有供货协议自行终止，采购人将根据最新国家和省级及地区相关政策实施采购。</w:t>
      </w:r>
    </w:p>
    <w:p>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5.其他服务要求：</w:t>
      </w:r>
    </w:p>
    <w:p>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5.1在接到采购方需求后</w:t>
      </w:r>
      <w:r>
        <w:rPr>
          <w:rFonts w:hint="default" w:hAnsi="宋体" w:cs="宋体"/>
          <w:color w:val="auto"/>
          <w:sz w:val="24"/>
          <w:szCs w:val="24"/>
          <w:lang w:val="en-US" w:eastAsia="zh-CN" w:bidi="ar-SA"/>
        </w:rPr>
        <w:t>72</w:t>
      </w:r>
      <w:r>
        <w:rPr>
          <w:rFonts w:hint="eastAsia" w:ascii="宋体" w:hAnsi="宋体" w:eastAsia="宋体" w:cs="宋体"/>
          <w:color w:val="auto"/>
          <w:sz w:val="24"/>
          <w:szCs w:val="24"/>
          <w:lang w:val="en-US" w:eastAsia="zh-CN" w:bidi="ar-SA"/>
        </w:rPr>
        <w:t>小时内送货上门，且运输方式须符合相关产品质量保证要求，因运输过程中导致的包装破损或导致质量损坏的风险由中选人自行承担。</w:t>
      </w:r>
    </w:p>
    <w:p>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5.2在发布中选通知书后签署合同前，如采购人收到质疑在处理过程中，如发现中选人虚假应标，有权拒签合同并不承担任何法律和经济的赔偿责任。</w:t>
      </w:r>
    </w:p>
    <w:p>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5.3中选人须在签署合同前将所投所有产品的注册证复印件等相关产品资料，以及供应商的备案证、经营许可证等相关资料以纸质版形式交予采购人处，未在中选通知10个工作日内交付相关资料的，视为放弃中选资格，采购人不予其签订合同不承担任何法律和经济的赔偿责任。</w:t>
      </w:r>
    </w:p>
    <w:p>
      <w:pPr>
        <w:pStyle w:val="17"/>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5.4 签署合同后的一个月内，医院使用科室在临床实际使用中如发现中选产品无法满足临床使用需求，采购方有权单方面终止合同且不承担任何法律和经济的赔偿责任，采购方将重新启动采购程序实施采购。</w:t>
      </w:r>
    </w:p>
    <w:p>
      <w:pPr>
        <w:spacing w:line="240" w:lineRule="auto"/>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6.供应商在签订合同前，针对需要匹配现有设备使用的产品，须向采购人提交生产厂家或代理商针对供应产品的授权委托书，如不能按要求提供，采购人有权取消成交供应的中标资格。</w:t>
      </w:r>
      <w:r>
        <w:rPr>
          <w:rFonts w:hint="eastAsia" w:hAnsi="宋体" w:cs="宋体"/>
          <w:b/>
          <w:bCs/>
          <w:color w:val="auto"/>
          <w:sz w:val="24"/>
          <w:szCs w:val="24"/>
          <w:lang w:val="en-US" w:eastAsia="zh-CN" w:bidi="ar-SA"/>
        </w:rPr>
        <w:t>【在响应文件中单独提供承诺函】</w:t>
      </w:r>
    </w:p>
    <w:p>
      <w:pPr>
        <w:spacing w:line="240" w:lineRule="auto"/>
        <w:rPr>
          <w:rFonts w:hint="eastAsia" w:ascii="宋体" w:hAnsi="宋体" w:eastAsia="宋体" w:cs="宋体"/>
          <w:b/>
          <w:bCs/>
          <w:color w:val="auto"/>
          <w:sz w:val="24"/>
          <w:szCs w:val="24"/>
        </w:rPr>
        <w:sectPr>
          <w:pgSz w:w="11906" w:h="16838"/>
          <w:pgMar w:top="1400" w:right="850" w:bottom="1088" w:left="1134" w:header="0" w:footer="595" w:gutter="0"/>
          <w:cols w:space="720" w:num="1"/>
          <w:titlePg/>
          <w:docGrid w:type="lines" w:linePitch="472" w:charSpace="0"/>
        </w:sectPr>
      </w:pPr>
      <w:r>
        <w:rPr>
          <w:rFonts w:hint="eastAsia" w:ascii="宋体" w:hAnsi="宋体" w:eastAsia="宋体" w:cs="宋体"/>
          <w:b/>
          <w:bCs/>
          <w:color w:val="auto"/>
          <w:sz w:val="24"/>
          <w:szCs w:val="24"/>
        </w:rPr>
        <w:t>注：以上商务条款为实质性条款，均不允许负偏离，负偏离视为非实质性响应比选响应文件，做无效投标处理。须按比选文件要求在商务响应表中予以应答，也须按要求提供相关资料或承诺函。</w:t>
      </w:r>
    </w:p>
    <w:p>
      <w:pPr>
        <w:pStyle w:val="17"/>
        <w:rPr>
          <w:rFonts w:hint="eastAsia" w:ascii="宋体" w:hAnsi="宋体" w:eastAsia="宋体" w:cs="宋体"/>
          <w:color w:val="auto"/>
          <w:sz w:val="24"/>
          <w:szCs w:val="24"/>
        </w:rPr>
      </w:pPr>
      <w:r>
        <w:rPr>
          <w:rFonts w:hint="eastAsia" w:ascii="宋体" w:hAnsi="宋体" w:eastAsia="宋体" w:cs="宋体"/>
          <w:b/>
          <w:bCs/>
          <w:color w:val="auto"/>
          <w:sz w:val="24"/>
          <w:szCs w:val="24"/>
        </w:rPr>
        <w:t>三、</w:t>
      </w:r>
      <w:r>
        <w:rPr>
          <w:rFonts w:hint="eastAsia" w:hAnsi="宋体" w:cs="宋体"/>
          <w:b/>
          <w:bCs/>
          <w:color w:val="auto"/>
          <w:sz w:val="24"/>
          <w:szCs w:val="24"/>
          <w:lang w:val="en-US" w:eastAsia="zh-CN"/>
        </w:rPr>
        <w:t>技术服务</w:t>
      </w:r>
      <w:r>
        <w:rPr>
          <w:rFonts w:hint="eastAsia" w:ascii="宋体" w:hAnsi="宋体" w:eastAsia="宋体" w:cs="宋体"/>
          <w:b/>
          <w:bCs/>
          <w:color w:val="auto"/>
          <w:sz w:val="24"/>
          <w:szCs w:val="24"/>
        </w:rPr>
        <w:t>要求</w:t>
      </w:r>
    </w:p>
    <w:p>
      <w:pPr>
        <w:snapToGrid w:val="0"/>
        <w:spacing w:line="360" w:lineRule="auto"/>
        <w:rPr>
          <w:rFonts w:hint="default" w:ascii="宋体" w:hAnsi="宋体" w:eastAsia="宋体" w:cs="宋体"/>
          <w:b/>
          <w:bCs/>
          <w:color w:val="auto"/>
          <w:sz w:val="24"/>
          <w:szCs w:val="24"/>
          <w:lang w:val="en-US" w:eastAsia="zh-CN"/>
        </w:rPr>
      </w:pPr>
      <w:bookmarkStart w:id="159" w:name="_Toc18132"/>
      <w:bookmarkStart w:id="160" w:name="_Toc29117_WPSOffice_Level1"/>
      <w:r>
        <w:rPr>
          <w:rFonts w:hint="eastAsia" w:hAnsi="宋体" w:cs="宋体"/>
          <w:b/>
          <w:bCs/>
          <w:color w:val="auto"/>
          <w:sz w:val="24"/>
          <w:szCs w:val="24"/>
          <w:lang w:val="en-US" w:eastAsia="zh-CN"/>
        </w:rPr>
        <w:t>01包</w:t>
      </w:r>
    </w:p>
    <w:tbl>
      <w:tblPr>
        <w:tblStyle w:val="37"/>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52"/>
        <w:gridCol w:w="3311"/>
        <w:gridCol w:w="3704"/>
        <w:gridCol w:w="3672"/>
        <w:gridCol w:w="1244"/>
        <w:gridCol w:w="1877"/>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1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产品名称</w:t>
            </w:r>
          </w:p>
        </w:tc>
        <w:tc>
          <w:tcPr>
            <w:tcW w:w="12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须匹配的医院现有设备</w:t>
            </w:r>
          </w:p>
        </w:tc>
        <w:tc>
          <w:tcPr>
            <w:tcW w:w="12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规格型号</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限价（元）</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肺炎支原体培养药敏试剂盒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凝聚胺介质试剂</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革兰氏染色液-快速法-脱色液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快速革兰氏染色液（单瓶脱色液），250ml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抗酸染色液(冷染法)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4×250ml/盒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瑞氏-姬姆萨染色液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6×20ml/盒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革兰氏染色液（快速法）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4×250ml/盒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革兰阳性菌鉴定试剂1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墨汁染液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10mL×1瓶/盒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营养琼脂培养基</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5块/包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物表测试培养基</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65mm</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血琼脂平板</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5块/包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麦康凯琼脂平板</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5块/包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SS琼脂平板</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90mm</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巧克力琼脂培养基（不加抗生素）</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5块/包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沙保罗琼脂平板</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5块/包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巧克力色血琼脂平板</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5块/包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MH琼脂培养基</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90mm</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万古霉素药敏条（E-test法）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10人份/桶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念珠菌显色平板</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5块/包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利奈唑胺药敏条（E-test法）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10人份/桶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肠杆菌科细菌检测试剂盒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葡萄球菌检测试剂盒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非发酵菌检测试剂盒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奈瑟菌/嗜血杆菌检测试剂盒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链球菌科细菌检测试剂盒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酵母样真菌检测试剂盒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棒状杆菌检测试剂盒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树脂需氧瓶</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长沙天地人：全自动血培养仪TDR-X060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树脂需氧瓶（儿童瓶）</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长沙天地人：全自动血培养仪TDR-X060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树脂厌氧瓶</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长沙天地人：全自动血培养仪TDR-X060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支原体培养鉴定计数药敏试剂盒</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B群链球菌液体显色培养基</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ABO、RhD血型定型检测卡（单克隆抗体）</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抗人球蛋白检测卡(抗人球蛋白交叉配血)</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12卡/盒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抗人球蛋白检测卡（不规则抗体筛检卡）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12卡/盒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ABO血型反定型试剂盒（人血细胞）</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每盒有A1、B、O细胞各一瓶。10mL/瓶，浓度0.8%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不规则抗体检测试剂（人血红细胞）</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每盒有OⅠ、OⅡ、OⅢ红细胞各1瓶，5ml/瓶，浓度4%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低离子强度盐溶液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100ml/瓶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不规则抗体筛检质控品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4瓶/盒；</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样本1 2ml/瓶*2瓶、样本2 2ml/瓶*2瓶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交叉配血质控品（微柱凝胶法）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5瓶/盒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样本1 2ml/瓶*1瓶 、样本2 1ml/瓶*1瓶、样本3 1ml/瓶*1瓶、样本4 2ml/瓶*1瓶、样本5 2ml/瓶*1瓶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ABO、RhD血型检测质控品（微柱凝胶法）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6瓶/盒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样本1 4ml/瓶*1瓶、 样本2 4ml/瓶*1瓶 、样本3 2ml/瓶*1瓶、 样本4 2ml/瓶*1瓶、 样本5  4ml/瓶*1瓶、 样本6 2ml/瓶*1瓶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RhD（IgM）血型定型试剂（单克隆抗体）</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长春博妍：试机卡孵育器FYQ型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电解质分析仪专用成套校正液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上海迅达：电解质分析仪XD-690III</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SC-501漂移校正液：650ml SC-502斜率校正液：100ml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血清淀粉样蛋白A（SAA)测定试剂(荧光免疫层析法)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广州万孚：干式荧光免疫分析仪FS-205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降钙素原(PCT)测定试剂（荧光免疫层析法）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广州万孚：干式荧光免疫分析仪FS-205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糖化血红蛋白（HbA1c）测定试剂（荧光免疫层析法）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广州万孚：干式荧光免疫分析仪FS-205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抗缪勒氏管激素（AMH）测定试剂（荧光免疫层析法)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广州万孚：干式荧光免疫分析仪FS-205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可溶性生长刺激表达基因2蛋白（ST2）测定试剂（荧光免疫层析法）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广州万孚：干式荧光免疫分析仪FS-205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卡型：25人份/盒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心肌肌钙蛋白I/肌酸激酶同工酶/肌红蛋白联检试剂(荧光免疫层析一步法)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广州万孚：干式荧光免疫分析仪FS-205</w:t>
            </w:r>
          </w:p>
        </w:tc>
        <w:tc>
          <w:tcPr>
            <w:tcW w:w="1260"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心肌肌钙蛋白I/肌酸激酶同工酶/肌红蛋白联检试剂（荧光免疫层析法）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广州万孚：干式荧光免疫分析仪FS-205</w:t>
            </w:r>
          </w:p>
        </w:tc>
        <w:tc>
          <w:tcPr>
            <w:tcW w:w="1260"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尿液干化学分析质控物1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2 4×10mL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尿液干化学分析质控物2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1 4×10mL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有形成分分析质控液1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1 60mL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有形成分分析质控液2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2 60mL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有形成分分析质控液3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3 60mL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有形成分分析校准液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有形成分分析聚焦液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尿液分析试纸条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CA-11 100条/筒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尿液多项质控物1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1 1×10mL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尿液多项质控物2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2 1×10mL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尿液理学指标校准物1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1 1×5mL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尿液理学指标校准物2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2 1×5mL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尿液理学指标质控物1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1 1×10mL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尿液理学指标质控物2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Level 2 1×10mL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尿液分析用稀释液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清洗液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清洗液 I 4×200mL/瓶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清洗液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尿液分析用鞘液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迈克赛德：全自动尿液分析系统CM-4500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尿液分析用鞘液 I  15L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血气生化测试包</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广州万孚：血气生化分析仪BGA-102</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50人份/袋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血气生化测试卡（干式电化学法）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广州万孚：血气生化分析仪BGA-102</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25人份/盒 ，BGDR-3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血气生化测试卡（电化学法）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广州万孚：血气生化分析仪BGA-102</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25人份/盒，BGDR-10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血栓弹力图高岭土检测试剂盒（凝固法）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杭州盛域：血栓弹力图仪TCA-6000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糖化血红蛋白层析柱套件（高效液相色谱法）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上海惠中：糖化血红蛋白分析仪MQ-2000PT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规格1（800测试）：4.6ID*33mm 1根、RF卡一张；</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糖化血红蛋白测定试剂盒(高效液相色谱法)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上海惠中：糖化血红蛋白分析仪MQ-2000PT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糖化血红蛋白（HbA1c）校准品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上海惠中：糖化血红蛋白分析仪MQ-2000PT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阴道炎联合检测试剂盒(酶化学反应法)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深圳瑞图：阴道分泌物检测仪RT-F600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规格：60人份/盒；型号：RT-F600A</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清洗液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深圳瑞图：阴道分泌物检测仪RT-F601</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10L/桶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血细胞分析用溶血剂 LC LYSE</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LC（200ml×1）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超敏C反应蛋白（hs-CRP）测定试剂盒（乳胶增强免疫散射比浊法）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50ml R:2×25ml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C—反应蛋白（CRP）校准品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5×0.5ml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血细胞分析用稀释液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M-5D(20L×1)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血细胞分析用溶血剂1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M-53LH (500mlX4)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血细胞分析用溶血剂2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M-53LEO(I)(1LX4)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血细胞分析用溶血剂3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M-5 LEO(II)(500mL×4)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1136"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血细胞分析用稀释液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深圳迈瑞：全自动血液细胞分析仪BC-5385CRP</w:t>
            </w:r>
          </w:p>
        </w:tc>
        <w:tc>
          <w:tcPr>
            <w:tcW w:w="1260"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M-5DP 20Lx1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1136"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血细胞分析用溶血剂1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深圳迈瑞：全自动血液细胞分析仪BC-5385CRP</w:t>
            </w:r>
          </w:p>
        </w:tc>
        <w:tc>
          <w:tcPr>
            <w:tcW w:w="1260"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MA-5LEO(I) 1Lx4瓶/箱</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1136"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血细胞分析用溶血剂2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深圳迈瑞：全自动血液细胞分析仪BC-5385CRP</w:t>
            </w:r>
          </w:p>
        </w:tc>
        <w:tc>
          <w:tcPr>
            <w:tcW w:w="1260"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MA-5LEO(II) 500mLx4瓶/箱</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1136"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血细胞分析用溶血剂3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深圳迈瑞：全自动血液细胞分析仪BC-5385CRP</w:t>
            </w:r>
          </w:p>
        </w:tc>
        <w:tc>
          <w:tcPr>
            <w:tcW w:w="1260"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MA-5LH 500mLx4瓶/箱</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1136"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C反应蛋白（CRP)测定试剂盒（乳胶增强免疫散射比浊法)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深圳迈瑞：全自动血液细胞分析仪BC-5385CRP</w:t>
            </w:r>
          </w:p>
        </w:tc>
        <w:tc>
          <w:tcPr>
            <w:tcW w:w="1260"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2x40人份/盒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1136"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超敏C反应蛋白(hs—CRP)检测试剂盒（乳胶增强免疫散射比浊法)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深圳迈瑞：全自动血液细胞分析仪BC-5385CRP</w:t>
            </w:r>
          </w:p>
        </w:tc>
        <w:tc>
          <w:tcPr>
            <w:tcW w:w="1260"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2x40人份/盒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1136"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血细胞分析仪用校准物（光学法）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深圳迈瑞：全自动血液细胞分析仪BC-5385CRP</w:t>
            </w:r>
          </w:p>
        </w:tc>
        <w:tc>
          <w:tcPr>
            <w:tcW w:w="1260" w:type="pct"/>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SC-CAL PLUS 3mL×2</w:t>
            </w:r>
          </w:p>
        </w:tc>
        <w:tc>
          <w:tcPr>
            <w:tcW w:w="427" w:type="pct"/>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凝血酶原时间(PT)测定试剂盒(凝固法)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4x200人份/盒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活化部分凝血活酶时间(APTT)测定试剂盒(凝固法)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4x200人份/盒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纤维蛋白原(FIB)测定试剂盒(凝固法)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4x200人份/盒；FIB校准品：1x1.0ml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凝血酶时间(TT)测定试剂盒(凝固法)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4x200人份/盒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D—二聚体(D—Dimer)测定试剂盒(免疫比浊法)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3x100人份/盒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抗凝血酶Ⅲ(AT Ⅲ)质控品1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抗凝血酶Ⅲ（AT Ⅲ）质控品（水平2）：10x1.0ml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抗凝血酶Ⅲ(AT Ⅲ)质控品2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抗凝血酶Ⅲ（AT Ⅲ）质控品（水平1）：10x1.0ml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抗凝血酶Ⅲ(AT Ⅲ)测定试剂盒(发色底物法)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4x50人份/盒；AT III校准品：1x1.0ml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纤维蛋白(原)降解产物(FDP)测定试剂盒(免疫比浊法)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3x100人份/盒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APTT活化部分凝血活酶时间测定试剂盒（凝固法）冻干型</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APTT激活剂 6*4ml； CaCl2 6*4ml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FIB纤维蛋白原含量测定试剂盒（凝固法）冻干型</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凝血酶 6*4ml；咪唑缓冲液 1*50ml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PT凝血酶原时间测定试剂盒（凝固法）冻干型</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组织凝血活酶6*4ml； 复溶液 6*4ml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凝血酶时间测定（TT）测定试剂盒（冻干型）（凝固法）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FDP纤维蛋白（原）降解产物测定试剂盒（乳胶免疫比浊法）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R1:4*6ml R2:4*2ml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D-二聚体（D-Dimer）测定试剂盒（胶乳免疫比浊法）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R1:6*11ml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R2: 6*4ml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血糖试纸（葡萄糖氧化酶法）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江苏鱼跃：血糖仪悦准II型</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50片装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一次性使用真空采血管1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(塑料)紫色2ml，13*75/(100支/包）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一次性使用真空采血管（无添加剂管）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红色塑料5ml/13*100/(100支/盘）</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一次性使用真空采血管2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（塑料）促凝剂管/橙色5ml/600m/(100支/包）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一次性使用真空采血管3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（塑料）军绿色(肝素锂管)5ml/100支/包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一次性使用真空采血管4</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（塑料）-分离胶-促凝管黄色5ml,600米/13*100/(100支/包）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一次性使用真空采血管5</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蓝色塑料/血凝管13*75(枸橼酸钠_x0002_ml)/600m100支/盘*18盘/件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一次性使用真空采血管（玻璃）枸椽酸钠</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血沉试验管/黑色1.6ml/800m/(100支/包）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一次性使用静脉采血针</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100支/袋，7#</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便隐血（FOB）检测试剂（免疫层析法）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100人份/盒，条型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轮状病毒抗原检测试剂盒(乳胶法)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板型：25人份/盒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人绒毛膜促性腺激素（HCG）检测试纸(胶体金法)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条形：100人份/盒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人类免疫缺陷病毒p24抗原及抗体检测试剂盒（胶体硒法）Alere HIV Combo</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100个测试/袋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丙型肝炎病毒抗体（HCV）检测试剂（胶体金法）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100人份/盒，条型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梅毒螺旋体抗体(TP)检测试剂(胶体金法)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100人份/盒，条型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人类免疫缺陷病毒抗体检测试剂盒（胶体金法）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卡型：100人份/盒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乙型肝炎病毒表面抗原、表面抗体、e抗原、e抗体、核心抗体检测试剂(胶体金法)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25人份/盒，卡型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乙型肝炎病毒表面抗原检测试剂（胶乳法）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200人份/盒，条</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弓形虫IgM、风疹病毒IgM、巨细胞病毒IgM、单纯疱疹病毒Ⅰ型IgM、单纯疱疹病毒Ⅱ型IgM抗体五项联合检测试剂盒（胶体金法）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解脲支原体IgG抗体检测试剂盒（胶体金法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肺炎衣原体IgM抗体检测试剂盒(胶体金法)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肺炎支原体IgM抗体检测试剂盒(胶体金法)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甲型/乙型流感病毒抗原检测试剂(胶体金法)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20人份/盒,卡型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甲型肝炎病毒IgM抗体检测试剂盒(胶体金法)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板型：20人份/盒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戊型肝炎病毒IgM抗体检测试剂盒(胶体金法)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板型:20人份/盒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柯萨奇病毒B组IgM抗体检测试剂盒（胶体金法）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肠道病毒71型IgM抗体检测试剂盒（胶体金法）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呼吸道病毒核酸六重联检试剂盒（PCR荧光探针法）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西安天隆：全自动医用PCR分析系统Gentier96R</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人类HLA-B27核酸检测试剂盒（荧光PCR法）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西安天隆：全自动医用PCR分析系统Gentier96R</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新型冠状病毒2019-nCoV核酸检测试剂盒（PCR-荧光探针法）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郑州安图：核酸提取扩增一体机M3000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48测试/盒（S）</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甲型流感病毒/乙型流感病毒/呼吸道合胞病毒核酸检测试剂盒（PCR-荧光探针法）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郑州安图：核酸提取扩增一体机M3001</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48测试/盒（A）</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肺炎支原体/肺炎衣原体/腺病毒核酸检测试剂盒（PCR-荧光探针法）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郑州安图：核酸提取扩增一体机M3002</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48测试/盒（A）</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人副流感病毒核酸检测试剂盒（PCR-荧光探针法）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郑州安图：核酸提取扩增一体机M3003</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48测试/盒（A）</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人偏肺病毒核酸检测试剂盒（PCR-荧光探针法）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郑州安图：核酸提取扩增一体机M3004</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48测试/盒（A）</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核酸提取或纯化试剂</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西安天隆：全自动核酸提取仪GeneRotex96</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64T/盒（预封装）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SNP-U2</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测序反应通用试剂盒4</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测序反应通用试剂盒5</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SNP-U5</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测序反应通用试剂盒6</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测序反应通用试剂盒7</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SNP-U7</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测序反应通用试剂盒8</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测序反应通用试剂盒9</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测序反应通用试剂盒10</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SNP-U11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SNP-U13</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SNP-U14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SNP-U16</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测序反应通用试剂盒14</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SNP-U18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测序反应通用试剂盒15</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SNP-U24</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测序反应通用试剂盒16</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SNP-U25</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测序反应通用试剂盒17</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SNP-U27</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测序反应通用试剂盒18</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SNP-U28</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测序反应通用试剂盒19</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SNP-U20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测序反应通用试剂盒20</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SNP-U21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测序反应通用试剂盒21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西安天隆：多通道荧光定量分析仪Fascan 48E</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SNP-U19</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载玻片</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1-1.2mm/(50片/盒)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革兰阳性菌鉴定试剂2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β-内酰胺酶试验试剂 30测试/盒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一次性口咽拭子</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载玻片（磨砂）</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1-1.2mm/(50片/盒)单头单面</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阿莫西林/棒酸 20/10ug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阿奇霉素 15ug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妥布霉素 10ug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微生物药敏试纸(扩散法（K-B法）)4</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奥扑托新 5ug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微生物药敏试纸(扩散法（K-B法）)5</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氧氟沙星 5ug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微生物药敏试纸(扩散法（K-B法）)6</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头孢他啶/棒酸 30/10ug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微生物药敏试纸(扩散法（K-B法）)7</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亚胺培南10ug20片/瓶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微生物药敏试纸(扩散法（K-B法）)8</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青霉素10U20片/瓶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微生物药敏试纸(扩散法（K-B法）)9</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头孢他啶 30ug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微生物药敏试纸(扩散法（K-B法）)10</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左氟沙星 5ug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微生物药敏试纸(扩散法（K-B法）)11</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呋喃妥因 300μg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微生物药敏试纸(扩散法（K-B法）)12</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头孢西丁 30ug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微生物药敏试纸(扩散法（K-B法）)13</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头孢噻肟/棒酸 30/10ug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微生物药敏试纸(扩散法（K-B法）)14</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万古霉素 30ug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微生物药敏试纸(扩散法（K-B法）)15</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头孢噻肟 30ug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微生物药敏试纸(扩散法（K-B法）)16</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头孢哌酮/舒巴坦 75/30ug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微生物药敏试纸(扩散法（K-B法）)17</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美罗培南 10ug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微生物药敏试纸(扩散法（K-B法）)18</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甲氧苄啶/磺胺甲恶唑 25ug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触酶试剂</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细菌生化鉴别试剂1</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氧化酶纸片 20片/瓶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细菌生化鉴别试剂2</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克氏双糖铁琼脂 斜面（管）10支/盒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一次性使用无菌皮肤试敏点刺针</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一次性末梢采血器</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26G 1.8mm 50支/盒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香柏油</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25ml 10瓶/盒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一次性使用采样棒（接种环）</w:t>
            </w:r>
          </w:p>
        </w:tc>
        <w:tc>
          <w:tcPr>
            <w:tcW w:w="1271" w:type="pct"/>
            <w:tcBorders>
              <w:tl2br w:val="nil"/>
              <w:tr2bl w:val="nil"/>
            </w:tcBorders>
            <w:shd w:val="clear" w:color="auto" w:fill="auto"/>
            <w:vAlign w:val="center"/>
          </w:tcPr>
          <w:p>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10ul/200支/袋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接种水（型号：生化培养液）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细菌浊度标准管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TDR-Z2（麦氏比浊管）8支/盒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无菌滴管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湖南迈瑞：自动加样仪TDR-J100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1支/包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新加样TIP头96孔</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湖南迈瑞：自动加样仪TDR-J100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100支/包</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无菌矿物油</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长沙天地人：自动微生物分析与药敏系统TDR-300BPLUS</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卵磷脂吐温胰蛋白胨大豆培养基（复方中和剂）</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9ml*10瓶/盒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卵磷脂吐温胰蛋白胨大豆培养基（酒精中和剂）</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9ml*10瓶/盒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卵磷脂吐温胰蛋白胨大豆培养基（戊二醛中和剂）</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9ml*10瓶/盒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头孢唑啉药敏实验纸片（扩散法）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克林霉素药敏实验纸片（扩散法）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红霉素药敏实验纸片(扩散法)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阿米卡星药敏实验纸片(扩散法)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氨曲南药敏实验纸片(扩散法)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利奈唑胺药敏实验纸片(扩散法)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米诺环素药敏实验纸片(扩散法)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5×50片/盒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去蛋白液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上海迅达：电解质分析仪XD-685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30ml去蛋白液/1瓶+0.1g/支×12支酶粉</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电解质分析仪配套电极1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上海迅达：电解质分析仪XD-685、XD-690III</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600C1-电极</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电解质分析仪配套电极2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上海迅达：电解质分析仪XD-685、XD-690III</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600Na﹢电极</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电极活化剂</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上海迅达：电解质分析仪XD-685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30ml*3支/盒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电解质分析仪专用成套校正液1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上海迅达：电解质分析仪XD-685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SC-501漂移校正液 400ml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电解质分析仪专用成套校正液2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上海迅达：电解质分析仪XD-685</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SC-502斜率校正液30ml*3瓶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尿液分析试纸条(干化学法)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桂林优利特：尿液分析仪URIT 500B</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11G，100条/筒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2000PT过滤片</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上海惠中：糖化血红蛋白分析仪MQ-2000PT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2片/袋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糖化血红蛋白非定值质控品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上海惠中：糖化血红蛋白分析仪MQ-2000PT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水平1：500uL/瓶x1 水平2：500uL/瓶x1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血细胞分析仪用质控物（光学法）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BC-5D/中值/3.0ml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探头清洁液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深圳迈瑞：全自动血液细胞分析仪BC-5180CRP、BC-5390CRP</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50mlx1</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凝血质控品1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凝血质控品（水平1）：10×1.0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凝血质控品2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凝血质控品（水平2）：10×1.0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D—二聚体(D—Dimer)质控品1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D-二聚体（D-Dimer）质控品（低值）：10×1.0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D—二聚体(D—Dimer)质控品2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D-二聚体（D-Dimer）质控品（中值）：10×1.0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D—二聚体(D—Dimer)质控品3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D-二聚体（D-Dimer）质控品（高值）：10×1.0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纤维蛋白(原)降解产物(FDP)质控品1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纤维蛋白(原)降解产物（FDP）质控品（低值）：10×1.0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纤维蛋白(原)降解产物(FDP)质控品2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纤维蛋白(原)降解产物（FDP）质控品（中值）：10×1.0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纤维蛋白(原)降解产物(FDP)质控品3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纤维蛋白(原)降解产物（FDP）质控品（高值）：10×1.0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凝血分析用稀释液1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4x10.0mL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凝血分析用稀释液2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4x20.0mL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全自动凝血分析仪清洗液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1x10L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全自动凝血分析仪洗针液</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4x20mL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凝血反应杯</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3000个/箱</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D—二聚体(D—Dimer)校准品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D-D校准品1： 2×1.0 mL；D-D校准品2： 2×1.0 mL；D-D校准品3： 2×1.0 mL；D-D校准品4： 2×1.0 mL；D-D校准品5： 2×1.0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纤维蛋白(原)降解产物(FDP)校准品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深圳迈瑞：全自动凝血分析仪CX9010、CX6010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FDP校准品1：2×1.0 mL；FDP校准品2：2×1.0 mL；FDP校准品3：2×1.0 mL；FDP校准品4：2×1.0 mL；FDP校准品5：2×1.0 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特殊清洗液SFT</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18*10ml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433</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清洗液SFW</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20L （SF-8200)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SF-II型凝血测试仪用反应杯</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北京赛科希德：全自动凝血分析仪SF8200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1000个/盘 SF-8200</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细菌性阴道病检测试剂盒（多胺法）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399</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热敏打印纸</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57*30/3卷/筒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塑料吸管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0.5ml 500支/袋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一次性塑料试管1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15*100/(300支/盒)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一次性塑料试管2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12*75/600支/盒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一次性使用抗凝管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抗凝0.5ml，喷雾/盖盖</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一次性使用离心管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1.5ml/500支/袋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一次性使用微量采血吸管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40ul/400支/筒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一次性使用吸头</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1000ul 100支/袋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一次性使用标本杯</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痰杯40ml/(40只/袋×20袋/件)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尿液分析试纸（条）</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100TS</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一次性尿液标本采集杯（带旋盖）</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20个/袋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一次性尿杯</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大号透明尿杯（PVC)40ml*400只/袋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抗HIV-I标准物质/人类免疫缺陷病毒质控品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1ml/1NCU/ml</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阴性（液体）质控品</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0.5ml/支</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乙型肝炎表面抗原血清(液体)标准物质</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64IU/ml0.5ml/支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乙型肝炎表面抗体血清(液体)标准物质</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480mIu/ml0.5ml/支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乙型肝炎e抗原血清(液体)标准物质</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64NCU/ml0.5ml/支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乙型肝炎e抗体血清(液体)标准物质</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45NCU/ml0.5ml/支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乙型肝炎核心抗体血清(液体)标准物质</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100IU/ml0.5ml/支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人类免疫缺陷病毒Ⅰ型抗体（抗HIV-I)血清(液体)标准物质</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8NCU/mL支50支/盒</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丙型肝炎病毒抗体血清(液体)标准物质</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8NCU/ml0.5ml/支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梅毒螺旋体抗体血清(液体)标准物质1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非特异200miu(TP非1NCU)/ml0.5ml/支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259</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梅毒螺旋体抗体血清(液体)标准物质2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400mIU/ml0.5ml/支</w:t>
            </w:r>
          </w:p>
        </w:tc>
        <w:tc>
          <w:tcPr>
            <w:tcW w:w="4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大便标本杯</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黑色30ml/手（100只/袋×12袋/件)</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261</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O139群霍乱弧菌检测试剂盒(胶体金法)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262</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O1群霍乱弧菌检测试剂盒（胶体金法）</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10人份/盒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263</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1号100ulTIP耗材</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郑州安图：核酸提取扩增一体机M3000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150支/单元 4单元/盒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1号PCR耗材</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郑州安图：核酸提取扩增一体机M3000</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30套/单元 4单元/盒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 mL 8联PCR管+光学平盖</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透明 120条/盒</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453.96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266</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一次性使用滤芯吸头1</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6*52 200ul 1000支/袋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267</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一次性使用滤芯吸头2</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5*32 10ul吸头 1000支/袋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5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w:t>
            </w:r>
          </w:p>
        </w:tc>
        <w:tc>
          <w:tcPr>
            <w:tcW w:w="11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一次性使用滤芯吸头3</w:t>
            </w:r>
          </w:p>
        </w:tc>
        <w:tc>
          <w:tcPr>
            <w:tcW w:w="127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26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8*71 1000ul 500支/袋</w:t>
            </w:r>
          </w:p>
        </w:tc>
        <w:tc>
          <w:tcPr>
            <w:tcW w:w="42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r>
      <w:bookmarkEnd w:id="157"/>
      <w:bookmarkEnd w:id="158"/>
      <w:bookmarkEnd w:id="159"/>
      <w:bookmarkEnd w:id="160"/>
    </w:tbl>
    <w:p>
      <w:pPr>
        <w:pStyle w:val="17"/>
        <w:jc w:val="left"/>
        <w:outlineLvl w:val="0"/>
        <w:rPr>
          <w:rFonts w:hint="eastAsia"/>
          <w:b/>
          <w:bCs/>
          <w:color w:val="auto"/>
          <w:sz w:val="24"/>
          <w:szCs w:val="24"/>
          <w:lang w:val="en-US" w:eastAsia="zh-CN"/>
        </w:rPr>
      </w:pPr>
      <w:r>
        <w:rPr>
          <w:rFonts w:hint="eastAsia"/>
          <w:b/>
          <w:bCs/>
          <w:color w:val="auto"/>
          <w:sz w:val="24"/>
          <w:szCs w:val="24"/>
          <w:lang w:val="en-US" w:eastAsia="zh-CN"/>
        </w:rPr>
        <w:t>02包</w:t>
      </w:r>
    </w:p>
    <w:tbl>
      <w:tblPr>
        <w:tblStyle w:val="37"/>
        <w:tblW w:w="4996"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48"/>
        <w:gridCol w:w="4705"/>
        <w:gridCol w:w="4091"/>
        <w:gridCol w:w="2147"/>
        <w:gridCol w:w="806"/>
        <w:gridCol w:w="2057"/>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6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产品名称</w:t>
            </w:r>
          </w:p>
        </w:tc>
        <w:tc>
          <w:tcPr>
            <w:tcW w:w="140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w:t>
            </w:r>
          </w:p>
        </w:tc>
        <w:tc>
          <w:tcPr>
            <w:tcW w:w="73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规格型号</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限价（元）</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维生素B12测定试剂盒（化学发光免疫分析法）1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维生素B12测定试剂盒（化学发光免疫分析法）2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叶酸测定试剂盒（化学发光免疫分析法）1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叶酸测定试剂盒（化学发光免疫分析法）2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25-羟基维生素D测定试剂盒（化学发光免疫分析法）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肌酸激酶同工酶MB（CK-MB）测定试剂盒（化学发光免疫分析法）1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肌酸激酶同工酶MB（CK-MB）测定试剂盒（化学发光免疫分析法）2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高敏肌钙蛋白Ⅰ测定试剂盒（化学发光免疫分析法）1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高敏肌钙蛋白Ⅰ测定试剂盒（化学发光免疫分析法）2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心肌肌钙蛋白Ⅰ测定试剂盒（化学发光免疫分析法）1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心肌肌钙蛋白Ⅰ测定试剂盒（化学发光免疫分析法）2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肌红蛋白测定试剂盒（化学发光免疫分析法）1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肌红蛋白测定试剂盒（化学发光免疫分析法）2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心型脂肪酸结合蛋白测定试剂盒（化学发光免疫分析法）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铁蛋白测定试剂盒(化学发光免疫分析法)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36测试/盒：配校准品和质控品</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胃蛋白酶原I测定试剂盒(化学发光免疫分析法)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60测试/盒：配校准品和质控品</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胃蛋白酶原II测定试剂盒(化学发光免疫分析法)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60测试/盒：配校准品和质控品</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B型钠尿肽测定试剂盒（化学发光免疫分析法）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深圳天深：发光分析仪ACCRE 8</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60测试/盒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乙型肝炎病毒核心抗体测定试剂盒（化学发光免疫分析法）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乙型肝炎病毒表面抗原(HBsAg)测定试剂盒(化学发光免疫分析法)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乙型肝炎病毒表面抗体(Anti-HBs)测定试剂盒(化学发光免疫分析法)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乙型肝炎病毒e抗体测定试剂盒（化学发光免疫分析法）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乙型肝炎病毒e抗原测定试剂盒(化学发光免疫分析法)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人类免疫缺陷病毒抗原抗体(HIV)测定试剂盒(化学发光免疫分析法)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丙型肝炎病毒抗体检测试剂盒（化学发光免疫分析法）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乙型肝炎病毒表面抗原校准品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校准品0（C0）：1×2.0ml，校准品1（C1）：1×2.0ml，校准品2（C2）：1×2.0ml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乙型肝炎病毒表面抗原质控品（阴性）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校准品0（C0）：1*2.0mL,校准品1（C1）：1*2.0mL,校准品2（C2）:1*2.0mL。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乙型肝炎病毒表面抗体质控品（阴性）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乙型肝炎病毒表面抗体质控品(阳性)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乙型肝炎病毒e抗原质控品（阴性）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乙型肝炎病毒e抗原质控品（阳性）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校准品0（C0）：1*2.0mL,校准品1（C1）：1*2.0mL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乙型肝炎病毒e抗体质控品（阴性）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乙型肝炎病毒e抗体质控品（阳性）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乙型肝炎病毒核心抗体校准品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校准品0（C0）：1*2.0mL,校准品1（C1）：1*2.0mL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乙型肝炎病毒核心抗体质控品（阴性）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乙型肝炎病毒核心抗体质控品（阳性）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人类免疫缺陷病毒抗原抗体校准品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校准品0（C0）：1×2.0mL,校准品1（C1）：1×2.0mL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人类免疫缺陷病毒抗原抗体质控品（阴性）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人类免疫缺陷病毒抗原抗体质控品（阳性）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人类免疫缺陷病毒抗原质控品（阳性）3×2ml，人类免疫缺陷病毒抗体质控品（阳性），3×2ml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梅毒螺旋体抗体校准品0（C0）：1×2.0mL， 梅毒螺旋体抗体校准品1（C1）：1×2.0mL。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梅毒螺旋体抗体质控品1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梅毒螺旋体抗体质控品（阴性）：3×2.0mL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梅毒螺旋体抗体质控品2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梅毒螺旋体抗体质控品（阳性）：3×2.0mL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丙型肝炎病毒抗体校准品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丙型肝炎病毒抗体校准品0（C0）：1×2.0mL， 丙型肝炎病毒抗体校准品1（C1）：1×2.0mL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丙型肝炎病毒抗体质控品1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阴性质控品：3×2.0ml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丙型肝炎病毒抗体质控品2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阳性质控品：3×2.0ml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游离三碘甲状腺原氨酸（FT3）测定试剂盒（化学发光免疫分析法）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游离甲状腺素（FT4）测定试剂盒（化学发光免疫分析法）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总三碘甲状腺原氨酸（T3）测定试剂盒（化学发光免疫分析法）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总三碘甲状腺原氨酸（T3）测定试剂盒</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总甲状腺素（T4）测定试剂盒（化学发光免疫分析法）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总甲状腺素（T4）测定试剂盒</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促甲状腺激素（TSH）测定试剂盒（化学发光免疫分析法）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甲状腺球蛋白（Tg）测定试剂盒（化学发光免疫分析法）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抗甲状腺过氧化物酶抗体（Anti—TPO）测定试剂盒（化学发光免疫分析法）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促甲状腺素受体抗体（TRab）测定试剂盒（化学发光法）1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促甲状腺素受体抗体（TRab）测定试剂盒（化学发光法）2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游离三碘甲状腺原氨酸校准品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游离甲状腺素校准品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总三碘甲状腺原氨酸校准品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总甲状腺素校准品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促甲状腺激素校准品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甲状腺球蛋白校准品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抗甲状腺过氧化物酶抗体校准品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甲状腺功能复合定值质控品1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高值：3×5.0ml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甲状腺功能复合定值质控品2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低值：1×5.0ml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孕酮（PROG）测定试剂盒（化学发光免疫分析法）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总β人绒毛膜促性腺激素（Total β HCG II）测定试剂盒（化学发光免疫分析法）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2X100人份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垂体泌乳素（PRL）测定试剂盒（化学发光免疫分析法）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雌二醇(E2)测定试剂盒(化学发光免疫分析法)1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雌二醇(E2)测定试剂盒(化学发光免疫分析法)2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雌三醇（E3）测定试剂盒（化学发光免疫分析法）1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雌三醇（E3）测定试剂盒（化学发光免疫分析法）2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促卵泡生成素(FSH)测定试剂盒(化学发光免疫分析法)1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促卵泡生成素(FSH)测定试剂盒(化学发光免疫分析法)2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促黄体生成素(LH)测定试剂盒(化学发光免疫分析法)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睾酮（TESTO）测定试剂盒（化学发光免疫分析法）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睾酮(TESTO)测定试剂盒(化学发光免疫分析法)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孕酮校准品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睾酮校准品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总β人绒毛膜促性腺激素校准品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垂体泌乳素校准品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促黄体生成素校准品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促卵泡生成素校准品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雌二醇校准品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雌三醇校准品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3瓶；C0：1×2.0mL，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生殖激素类复合定值质控品1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低值：1×5.0ml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生殖激素类复合定值质控品2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高值：1×5.0ml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铁蛋白(FERR)测定试剂盒(化学发光免疫分析法)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叶酸（Folate）测定试剂盒（化学发光免疫分析法）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维生素B12（VB12）测定试剂盒（化学发光免疫分析法）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叶酸校准品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维生素B12校准品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总25—羟基维生素D（VD—T）测定试剂盒（化学发光免疫分析法）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总25—羟基维生素D校准品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癌胚抗原(CEA)测定试剂盒(化学发光免疫分析法)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甲胎蛋白(AFP)测定试剂盒(化学发光免疫分析法)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肿瘤相关抗原CA125测定试剂盒(化学发光免疫分析法)1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肿瘤相关抗原CA125测定试剂盒(化学发光免疫分析法)2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癌抗原CA15-3测定试剂盒(化学发光免疫分析法)1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癌抗原CA15-3测定试剂盒(化学发光免疫分析法)2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糖类抗原CA19-9测定试剂盒(化学发光免疫分析法)1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糖类抗原CA19-9测定试剂盒(化学发光免疫分析法)2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癌抗原CA72-4测定试剂盒(化学发光免疫分析法)1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癌抗原CA72-4测定试剂盒(化学发光免疫分析法)2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鳞状上皮细胞癌抗原测定试剂盒（化学发光免疫分析法）1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鳞状上皮细胞癌抗原测定试剂盒（化学发光免疫分析法）2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总前列腺特异性抗原(t-PSA)测定试剂盒(化学发光免疫分析法)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游离前列腺特异性抗原(FPSA)测定试剂盒(化学发光免疫分析法)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糖类抗原242测定试剂盒（化学发光免疫分析法）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神经元特异性烯醇化酶测定试剂盒(化学发光免疫分析法)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细胞角蛋白19片段测定试剂盒（化学发光免疫分析法）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癌胚抗原(CEA)校准品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甲胎蛋白(AFP)校准品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肿瘤相关抗原CA125校准品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癌抗原CA15-3校准品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糖类抗原CA19-9校准品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癌抗原CA72-4校准品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癌抗原CA72-4校准品0（C0）：1×2.0mL， 癌抗原CA72-4校准品1（C1）：1×2.0mL，癌抗原CA72-4校准品2（C2）：1×2.0mL。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鳞状上皮细胞癌抗原校准品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C0：1×1.2mL， C1：1×1.0mL，C2:1×1.0mL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糖类抗原242校准品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C0：1×1.2mL， C1：1×1.0mL，C2:1×1.0mL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总前列腺特异性抗原校准品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游离前列腺特异性抗原校准品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神经元特异性烯醇化酶校准品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神经元特异性烯醇化酶校准品0（C0）：1×2.0mL，神经元特异性烯醇化酶校准品1（C1）：1×2.0mL，神经元特异性烯醇化酶校准品2（C2）：1×2.0mL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细胞角蛋白19片段校准品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细胞角蛋白19片段校准品0（C0）:1×2.0ｍL,细胞角蛋白19片段校准品1（C1）:1×2.0ｍL，细胞角蛋白19片段校准品2（C2）:1×2.0ｍL。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神经元特异性烯醇化酶质控品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高值：3×2.0mL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肿瘤标志物多项质控品1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低值：1×5.0ml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肿瘤标志物多项质控品2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高值：1×5.0ml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全自动免疫检验系统用底物液</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4×115ml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MR清洗缓冲液（清洗液)</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C肽（C-Peptide）测定试剂盒（化学发光免疫分析法）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C肽校准品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胰岛素（Insulin）测定试剂盒（化学发光免疫分析法）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胰岛素校准品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甲状旁腺素校准品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甲状旁腺素（PTH）测定试剂盒（化学发光免疫分析法）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降钙素（CT）测定试剂盒（化学发光免疫分析法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降钙素校准品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C0：1×2.0mL，  C1：1×2.0mL，C2:1×2.0mL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白介素-6测定试剂盒（化学发光免疫分析法）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型号Y：规格： 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B型钠尿肽测定试剂盒（化学发光免疫分析法）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型号Y：规格： 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高敏肌钙蛋白I测定试剂盒（化学发光免疫分析法）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型号Y：规格： 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肌红蛋白测定试剂盒（化学发光免疫分析法）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型号Y：规格： 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肌酸激酶同工酶测定试剂盒（化学发光免疫分析法）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型号Y：规格： 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血栓调节蛋白定值质控品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低值：3×1.0mL；高值：3×1.0mL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凝血酶-抗凝血酶Ⅲ复合物定值质控品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低值：3×1.0mL；高值：3×1.0mL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组织纤溶酶原激活物-纤溶酶原激活物抑制剂-1复合物定值质控品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低值：3×1.0mL；高值：3×1.0mL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纤溶酶-α2纤溶酶抑制剂复合物定值质控品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低值：3×1.0mL；高值：3×1.0mL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血栓调节蛋白测定试剂盒（化学发光免疫分析法）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规格F3：2×50人份/盒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组织纤溶酶原激活物-纤溶酶原激活物抑制剂-1复合物测定试剂盒（化学发光免疫分析法）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规格F3：2×50人份/盒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纤溶酶-α2纤溶酶抑制剂复合物测定试剂盒（化学发光免疫分析法）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规格F3：2×50人份/盒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凝血酶-抗凝血酶Ⅲ复合物测定试剂盒（化学发光免疫分析法）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规格F3：2×50人份/盒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醛固酮测定试剂盒（化学发光免疫分析法）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型号F：2×50人份/盒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肾素测定试剂盒（化学发光免疫分析法）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型号F：2×50人份/盒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血管紧张素I测定试剂盒（化学发光免疫分析法）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型号F：2×50人份/盒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血管紧张素Ⅱ测定试剂盒（化学发光免疫分析法）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型号F：2×50人份/盒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游离雌三醇测定试剂盒（时间分辨荧光免疫分析法）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广州丰华：全自动时间分辨荧光免疫分析仪Auto TRFIA-2型</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96人份/盒（全自动）</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甲胎蛋白及游离β-绒毛膜促性腺激素双标测定试剂盒（时间分辨荧光免疫分析法）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广州丰华：全自动时间分辨荧光免疫分析仪Auto TRFIA-2型</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96人份/盒（全自动）</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丙氨酸氨基转移酶（ALT）测定试剂盒（IFCC法）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438ml：R1：6×57ml，R2:3×32ml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天门冬氨酸氨基转移酶（AST）测定试剂盒（IFCC法）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438ml:R1:57ml×6，R2：32ml×3</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碱性磷酸酶（ALP）测定试剂盒（AMP缓冲液法）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300ml:R1:4×60ml,R2:2×30ml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γ-谷氨酰转移酶（Y-GT）测定试剂盒（IFCC法）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438ml:R1:57ml×6，R2：32ml×3</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总胆红素（T-Bil）测定试剂盒（钒酸盐氧化法）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296ml:R1:4×58ml，R2：2×32ml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直接胆红素（D-Bil）测定试剂盒（钒酸盐氧化法）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296ml:R1:4×58ml，R2：2×32ml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总蛋白（TP）测定试剂盒（双缩脲法）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308mL：R1：4×60 mL + R2：4×17 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白蛋白（ALB）测定试剂盒（溴甲酚绿法）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360ml:R:6×60ml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总胆汁酸（TBA）测定试剂盒（循环酶法）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240ml:R1:4×45ml,R2:2×30ml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胆碱酯酶(CHE)测定试剂盒（丁酰硫代胆碱法）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180ml:R1:4×37ml，R2：2×16ml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前白蛋白（PA）测定试剂盒（免疫透射比浊法）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106ml:R1：2×38ml，R2：2×15ml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腺苷脱氨酶（ADA）测定试剂盒（酶比色法）1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108ml：R1:2×36ml+R2:2×18ml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腺苷脱氨酶（ADA）测定试剂盒（酶比色法）2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108ml：R1:2×36ml+R2:2×18ml，校准品规格：1×1ml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5′-核苷酸酶（5′-NT）测定试剂盒（酶比色法）1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108ml:R1:2×36ml，R2：2×18ml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5′-核苷酸酶（5′-NT）测定试剂盒（酶比色法）2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108ml:R1:2×36ml，R2：2×18ml ,校准品规格：1×1ml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α-L-岩藻糖苷酶(AFU)测定试剂盒(CNPF法)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R:2×40ml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前白蛋白校准品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胱抑素C（CysC Ⅱ）测定试剂盒（胶乳免疫比浊法）1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104ml:R1:2×40ml,R2:2×12ml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胱抑素C（CysC Ⅱ）测定试剂盒（胶乳免疫比浊法）2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104ml:R1:2×40ml,R2:2×12ml，校准品规格，5×0.5ml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β2—微球蛋白（β2—MG）测定试剂盒（胶乳免疫比浊法）1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104ml:R1:2×40ml,R2:2×12ml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β2—微球蛋白（β2—MG）测定试剂盒（胶乳免疫比浊法）2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104ml:R1:2×40ml,R2:2×12ml，校准品规格，5×0.5ml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肌酐(CREA)测定试剂盒(肌氨酸氧化酶法)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 mL：R1：4×59 mL，R2：2×42 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尿酸（UA）测定试剂盒（尿酸酶-过氧化物酶法）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438ml：R1：6×57ml，R2：3×32ml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尿素（UREA）测定试剂盒（紫外-谷氨酸脱氢酶法）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300ml:R1:4×60ml,R2:2×30ml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同型半胱氨酸（HCY II）测定试剂盒（酶循环法）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180ml R1: 4×34ml, R2: 4×11ml，校准品：5×1.0ml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总胆固醇（TC）测定试剂盒（氧化酶法）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360ml:R:6×60ml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甘油三酯（TG）测定试剂盒（氧化酶法）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360ml:R:6×60ml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高密度脂蛋白胆固醇（HDL-C）测定试剂盒（直接法）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316ml：R1：4×58ml，R2：2×42ml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低密度脂蛋白胆固醇（LDL-C）测定试剂盒（直接法）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316ml：R1：4×58ml，R2：2×42ml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载脂蛋白A1(ApoA1)测定试剂盒（免疫透射比浊法）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171ml：R1：3×42ml，R2：3×15ml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载脂蛋白B(ApoB)测定试剂盒（免疫透射比浊法）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171ml：R1：3×42ml，R2：3×15ml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脂蛋白(a)[Lp(a)]测定试剂盒(胶乳免疫比浊法)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 mL：R1: 4×42 mL + R2: 4×12 mL；选配校准品： 5×1 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脂类校准品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 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α-淀粉酶（a-AMY）测定试剂盒（连续监测法）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216ml:R1:42ml×4+R2:12ml×4</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乳酸脱氢酶（LDH）测定试剂盒（IFCC法）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216ml:R1:4×42ml，R2：4×12ml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α-羟丁酸脱氢酶（α-HBDH）测定试剂盒（DGKC法）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216ml:R1:4×42ml，R2：4×12ml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肌酸激酶（CK）测定试剂盒（IFCC法）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162ml：R1：3×42ml，R2：3×12ml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肌酸激酶MB型同工酶（CK-MB）测定试剂盒（免疫抑制法）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162ml：R1：3×42ml，R2：3×12ml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肌酸激酶同工酶校准品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钙（Ca）测定试剂盒（偶氮砷III法）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180ml:R:4×45ml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无机磷（P）测定试剂盒（磷钼酸法）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 mL：R1: 4×44 mL + R2: 4×16 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镁（Mg）测定试剂盒（二甲苯胺蓝法）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180ml:R:4×45ml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铁（Fe）测定试剂盒（比色法）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180ml:R1:4×37ml，R2：2×16ml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转铁蛋白（TRF）测定试剂盒（免疫透射比浊法）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R1:1×45ml，R2:1×7ml+Cal：5×1ml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超敏C—反应蛋白（HS-CRP）测定试剂盒（乳胶免疫比浊法）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R1:2×40 mL+R2:2×40 mL+校准品:5×1.0 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抗链球菌溶血素“O”(ASO Ⅱ)测定试剂盒（胶乳免疫比浊法）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160ml:R1：2×40ml+R2：2×40ml，校准品规格：1×0.5ml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类风湿因子（RF Ⅱ）测定试剂盒（免疫比浊法）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R1：2×40ml+R2：2×11ml，校准品规格：5×0.5ml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生化复合定值质控品1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水平1：10×5ml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生化复合定值质控品2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水平2：10×5ml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抗环瓜氨酸肽抗体检测试剂盒（胶乳增强免疫比浊法）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R1：45mL×1，R2：15mL×1</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免疫球蛋白A(IgA)测定试剂盒(免疫透射比浊法)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120ml:R1:2×40ml+R2:2×20ml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免疫球蛋白M(IgM)测定试剂盒(免疫透射比浊法)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120ml:R1:2×40ml+R2:2×20ml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免疫球蛋白G(IgG)测定试剂盒(免疫透射比浊法)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90ml:R1：2×35ml，R2：2×10ml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补体因子C3(C3)测定试剂盒(免疫透射比浊法)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120ml:R1：2×40ml+R2：2×20ml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补体因子C4(C4)测定试剂盒(免疫透射比浊法)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106ml:R1:2×38ml+R2:2×15ml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中性粒细胞明胶酶相关脂质运载蛋白检测试剂盒（胶乳增强免疫比浊法）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R1:48mL×2 R2:12mL×2</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载脂蛋白E检测试剂盒（免疫比浊法）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R1:48mL×2 R2:12mL×2</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按当月挂网价执行</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乙型肝炎病毒表面抗原质控品（阳性）</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乙型肝炎病毒e抗原校准品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乙型肝炎病毒e抗原校准品0(C0):1×1.2mL,乙型肝炎病毒e抗原校准品1(C1):1×1.0mL,乙型肝炎病毒e抗原校准品2(C2):1×1.0mL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促甲状腺素受体抗体校准品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C0：4×0.45 mL，C1：4×0.40mL，C2：4×0.40mL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样本稀释液</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2×30ml/盒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免疫反应杯及废料箱</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126个×24盒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全自动发光反应杯及废料箱</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反应杯数量5000个,废料箱9个</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针清洗液</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深圳迈瑞：全自动化学发光免疫分析仪CL6000i、CL2000i、CL2200i</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17mlx12瓶/盒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F型反应杯</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1000支/袋</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清洗液</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F型A01:1x1L/盒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全自动免疫检验系统用底物液</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深圳迎凯：全自动化学发光免疫分析仪SHine i1900、SHine i2900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F型A01:4x40mL/盒</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产前筛查3项血清质控品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广州丰华：全自动时间分辨荧光免疫分析仪Auto TRFIA-2型</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1.0ml*3支</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吸嘴</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广州丰华：全自动时间分辨荧光免疫分析仪Auto TRFIA-2型</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1000ul 96支/盒 130盒/件</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脂蛋白（a）[Lp（a）]校准品（II）</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5×1ml,校准品包含a、b、c、d、e五个浓度水平</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葡萄糖（Glu）测定试剂盒（葡萄糖氧化酶法）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BS800/438ml:R1:6×57ml+R2：3×32ml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特种蛋白校准品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玻璃反应杯</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10个/包</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CD80生化分析仪用清洗液</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2L×6瓶/箱</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常规生化复合校准品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生化免疫分析仪用清洗液A</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生化免疫分析仪用清洗液B</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6×55ml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光源灯组件1</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深圳迈瑞：全自动生化分析仪BS800</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光源灯组件2</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参比电极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钾电极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5980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氯电极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5980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钠电极</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5980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生化分析仪电解质模块用清洗液（离子选择电极法）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100ml×2</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生化分析仪电解质模块尿液测试用定标液(离子选择电极法)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型号:MR Urine Standard 213633 低水平：1×100ml；高水平：1×100ml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生化分析仪电解质模块血清测试用定标液(离子选择电极法)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型号:MR Serum Standard 213632;规格：低水平：1×100ml；高水平：1×100ml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w:t>
            </w:r>
          </w:p>
        </w:tc>
        <w:tc>
          <w:tcPr>
            <w:tcW w:w="161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生化分析仪电解质模块用尿液质控物（离子选择电极法）</w:t>
            </w:r>
          </w:p>
        </w:tc>
        <w:tc>
          <w:tcPr>
            <w:tcW w:w="1405"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深圳迈瑞：全自动生化分析仪BS2000M</w:t>
            </w:r>
          </w:p>
        </w:tc>
        <w:tc>
          <w:tcPr>
            <w:tcW w:w="737"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低水平:1×100ml;高水平:1×100ml</w:t>
            </w:r>
          </w:p>
        </w:tc>
        <w:tc>
          <w:tcPr>
            <w:tcW w:w="2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w:t>
            </w:r>
          </w:p>
        </w:tc>
      </w:tr>
    </w:tbl>
    <w:p>
      <w:pPr>
        <w:pStyle w:val="55"/>
        <w:shd w:val="clear"/>
        <w:adjustRightInd w:val="0"/>
        <w:snapToGrid w:val="0"/>
        <w:spacing w:before="0" w:after="0" w:line="360" w:lineRule="auto"/>
        <w:ind w:left="0" w:right="0"/>
        <w:jc w:val="left"/>
        <w:rPr>
          <w:rFonts w:hint="eastAsia" w:ascii="仿宋" w:hAnsi="仿宋" w:eastAsia="仿宋" w:cs="仿宋"/>
          <w:b/>
          <w:bCs/>
          <w:i w:val="0"/>
          <w:iCs/>
          <w:color w:val="auto"/>
          <w:sz w:val="24"/>
          <w:szCs w:val="24"/>
          <w:highlight w:val="none"/>
          <w:lang w:val="en-US" w:eastAsia="zh-CN"/>
        </w:rPr>
      </w:pPr>
    </w:p>
    <w:p>
      <w:pPr>
        <w:pStyle w:val="55"/>
        <w:shd w:val="clear"/>
        <w:adjustRightInd w:val="0"/>
        <w:snapToGrid w:val="0"/>
        <w:spacing w:before="0" w:after="0" w:line="360" w:lineRule="auto"/>
        <w:ind w:left="0" w:right="0"/>
        <w:jc w:val="left"/>
        <w:rPr>
          <w:rFonts w:hint="eastAsia" w:ascii="仿宋" w:hAnsi="仿宋" w:eastAsia="仿宋" w:cs="仿宋"/>
          <w:b/>
          <w:bCs/>
          <w:i w:val="0"/>
          <w:iCs/>
          <w:color w:val="auto"/>
          <w:sz w:val="24"/>
          <w:szCs w:val="24"/>
          <w:highlight w:val="none"/>
          <w:lang w:val="en-US" w:eastAsia="zh-CN"/>
        </w:rPr>
        <w:sectPr>
          <w:pgSz w:w="16838" w:h="11906" w:orient="landscape"/>
          <w:pgMar w:top="1134" w:right="1400" w:bottom="850" w:left="1088" w:header="0" w:footer="595" w:gutter="0"/>
          <w:cols w:space="720" w:num="1"/>
          <w:titlePg/>
          <w:docGrid w:type="lines" w:linePitch="472" w:charSpace="0"/>
        </w:sectPr>
      </w:pPr>
      <w:r>
        <w:rPr>
          <w:rFonts w:hint="eastAsia" w:ascii="仿宋" w:hAnsi="仿宋" w:eastAsia="仿宋" w:cs="仿宋"/>
          <w:b/>
          <w:bCs/>
          <w:i w:val="0"/>
          <w:iCs/>
          <w:color w:val="auto"/>
          <w:sz w:val="24"/>
          <w:szCs w:val="24"/>
          <w:highlight w:val="none"/>
          <w:lang w:val="en-US" w:eastAsia="zh-CN"/>
        </w:rPr>
        <w:t>注：1.以上技术服务要求均为实质性要求，均不允许负偏离，负偏离视为无效响应文件，须在“技术服务要求响应表”中予以应答。</w:t>
      </w:r>
    </w:p>
    <w:p>
      <w:pPr>
        <w:pStyle w:val="2"/>
        <w:spacing w:line="240" w:lineRule="auto"/>
        <w:jc w:val="center"/>
        <w:rPr>
          <w:rFonts w:ascii="宋体" w:hAnsi="宋体" w:cs="宋体"/>
          <w:color w:val="auto"/>
          <w:sz w:val="36"/>
        </w:rPr>
      </w:pPr>
      <w:r>
        <w:rPr>
          <w:rFonts w:hint="eastAsia" w:ascii="宋体" w:hAnsi="宋体" w:cs="宋体"/>
          <w:color w:val="auto"/>
          <w:sz w:val="36"/>
        </w:rPr>
        <w:t>第六章  比选（评审）办法</w:t>
      </w:r>
      <w:bookmarkStart w:id="161" w:name="_Hlt101846155"/>
      <w:bookmarkEnd w:id="161"/>
      <w:bookmarkStart w:id="162" w:name="_Toc183682415"/>
      <w:bookmarkStart w:id="163" w:name="_Toc183582280"/>
      <w:bookmarkStart w:id="164" w:name="_Toc217446097"/>
      <w:bookmarkStart w:id="165" w:name="_Toc208849007"/>
    </w:p>
    <w:p>
      <w:pPr>
        <w:rPr>
          <w:rFonts w:hAnsi="宋体" w:cs="宋体"/>
          <w:b/>
          <w:color w:val="auto"/>
          <w:sz w:val="24"/>
        </w:rPr>
      </w:pPr>
      <w:r>
        <w:rPr>
          <w:rFonts w:hint="eastAsia" w:hAnsi="宋体" w:cs="宋体"/>
          <w:b/>
          <w:color w:val="auto"/>
          <w:sz w:val="24"/>
        </w:rPr>
        <w:t>1. 总则</w:t>
      </w:r>
      <w:bookmarkEnd w:id="162"/>
      <w:bookmarkEnd w:id="163"/>
      <w:bookmarkEnd w:id="164"/>
      <w:bookmarkEnd w:id="165"/>
    </w:p>
    <w:p>
      <w:pPr>
        <w:spacing w:line="400" w:lineRule="exact"/>
        <w:ind w:firstLine="480" w:firstLineChars="200"/>
        <w:rPr>
          <w:rFonts w:hAnsi="宋体" w:cs="宋体"/>
          <w:color w:val="auto"/>
          <w:sz w:val="24"/>
        </w:rPr>
      </w:pPr>
      <w:r>
        <w:rPr>
          <w:rFonts w:hint="eastAsia" w:hAnsi="宋体" w:cs="宋体"/>
          <w:color w:val="auto"/>
          <w:sz w:val="24"/>
        </w:rPr>
        <w:t>1.1比选人将根据比选项目特点组建评标委员会，采取综合评分法。</w:t>
      </w:r>
    </w:p>
    <w:p>
      <w:pPr>
        <w:spacing w:line="400" w:lineRule="exact"/>
        <w:ind w:firstLine="480" w:firstLineChars="200"/>
        <w:rPr>
          <w:rFonts w:hAnsi="宋体" w:cs="宋体"/>
          <w:color w:val="auto"/>
          <w:sz w:val="24"/>
        </w:rPr>
      </w:pPr>
      <w:r>
        <w:rPr>
          <w:rFonts w:hint="eastAsia" w:hAnsi="宋体" w:cs="宋体"/>
          <w:color w:val="auto"/>
          <w:sz w:val="24"/>
        </w:rPr>
        <w:t>1.2 评标工作应遵循公平、公正、科学及择优的原则，并以相同的评标程序和标准对待所有的供应商。</w:t>
      </w:r>
    </w:p>
    <w:p>
      <w:pPr>
        <w:spacing w:line="400" w:lineRule="exact"/>
        <w:ind w:firstLine="480" w:firstLineChars="200"/>
        <w:rPr>
          <w:rFonts w:hAnsi="宋体" w:cs="宋体"/>
          <w:color w:val="auto"/>
          <w:sz w:val="24"/>
        </w:rPr>
      </w:pPr>
      <w:r>
        <w:rPr>
          <w:rFonts w:hint="eastAsia" w:hAnsi="宋体" w:cs="宋体"/>
          <w:color w:val="auto"/>
          <w:sz w:val="24"/>
        </w:rPr>
        <w:t>1.3 评标委员会按照比选文件规定的评标方法和标准进行评标，并独立履行下列职责：</w:t>
      </w:r>
    </w:p>
    <w:p>
      <w:pPr>
        <w:spacing w:line="400" w:lineRule="exact"/>
        <w:ind w:firstLine="480"/>
        <w:rPr>
          <w:rFonts w:hAnsi="宋体" w:cs="宋体"/>
          <w:color w:val="auto"/>
          <w:sz w:val="24"/>
        </w:rPr>
      </w:pPr>
      <w:r>
        <w:rPr>
          <w:rFonts w:hint="eastAsia" w:hAnsi="宋体" w:cs="宋体"/>
          <w:color w:val="auto"/>
          <w:sz w:val="24"/>
        </w:rPr>
        <w:t>（1）审查响应文件是否符合比选文件要求，并作出评价；</w:t>
      </w:r>
    </w:p>
    <w:p>
      <w:pPr>
        <w:spacing w:line="400" w:lineRule="exact"/>
        <w:ind w:firstLine="480"/>
        <w:rPr>
          <w:rFonts w:hAnsi="宋体" w:cs="宋体"/>
          <w:color w:val="auto"/>
          <w:sz w:val="24"/>
        </w:rPr>
      </w:pPr>
      <w:r>
        <w:rPr>
          <w:rFonts w:hint="eastAsia" w:hAnsi="宋体" w:cs="宋体"/>
          <w:color w:val="auto"/>
          <w:sz w:val="24"/>
        </w:rPr>
        <w:t>（2）要求参与比选的供应商对响应文件有关事项作出解释或者澄清；</w:t>
      </w:r>
    </w:p>
    <w:p>
      <w:pPr>
        <w:spacing w:line="400" w:lineRule="exact"/>
        <w:ind w:firstLine="480"/>
        <w:rPr>
          <w:rFonts w:hAnsi="宋体" w:cs="宋体"/>
          <w:color w:val="auto"/>
          <w:sz w:val="24"/>
        </w:rPr>
      </w:pPr>
      <w:r>
        <w:rPr>
          <w:rFonts w:hint="eastAsia" w:hAnsi="宋体" w:cs="宋体"/>
          <w:color w:val="auto"/>
          <w:sz w:val="24"/>
        </w:rPr>
        <w:t>（3）推荐中标候选供应商名单，或者受比选人委托按照事先确定的办法直接确定中标供应商；</w:t>
      </w:r>
    </w:p>
    <w:p>
      <w:pPr>
        <w:spacing w:line="400" w:lineRule="exact"/>
        <w:ind w:firstLine="480"/>
        <w:rPr>
          <w:rFonts w:hAnsi="宋体" w:cs="宋体"/>
          <w:color w:val="auto"/>
          <w:sz w:val="24"/>
        </w:rPr>
      </w:pPr>
      <w:r>
        <w:rPr>
          <w:rFonts w:hint="eastAsia" w:hAnsi="宋体" w:cs="宋体"/>
          <w:color w:val="auto"/>
          <w:sz w:val="24"/>
        </w:rPr>
        <w:t>（4）向比选采购单位或者有关部门报告非法干预评标工作的行为。</w:t>
      </w:r>
      <w:bookmarkStart w:id="166" w:name="_Toc217446098"/>
    </w:p>
    <w:p>
      <w:pPr>
        <w:spacing w:line="400" w:lineRule="exact"/>
        <w:ind w:firstLine="482" w:firstLineChars="200"/>
        <w:rPr>
          <w:rFonts w:hAnsi="宋体" w:cs="宋体"/>
          <w:b/>
          <w:color w:val="auto"/>
          <w:sz w:val="24"/>
        </w:rPr>
      </w:pPr>
      <w:r>
        <w:rPr>
          <w:rFonts w:hint="eastAsia" w:hAnsi="宋体" w:cs="宋体"/>
          <w:b/>
          <w:color w:val="auto"/>
          <w:sz w:val="24"/>
        </w:rPr>
        <w:t>2. 评标程序</w:t>
      </w:r>
      <w:bookmarkEnd w:id="166"/>
    </w:p>
    <w:p>
      <w:pPr>
        <w:spacing w:line="400" w:lineRule="exact"/>
        <w:ind w:firstLine="480"/>
        <w:rPr>
          <w:rFonts w:hAnsi="宋体" w:cs="宋体"/>
          <w:color w:val="auto"/>
          <w:sz w:val="24"/>
        </w:rPr>
      </w:pPr>
      <w:bookmarkStart w:id="167" w:name="_Toc217446099"/>
      <w:r>
        <w:rPr>
          <w:rFonts w:hint="eastAsia" w:hAnsi="宋体" w:cs="宋体"/>
          <w:color w:val="auto"/>
          <w:sz w:val="24"/>
        </w:rPr>
        <w:t>2.1响应文件初审。初审分为资格性检查和符合性检查。</w:t>
      </w:r>
    </w:p>
    <w:p>
      <w:pPr>
        <w:spacing w:line="400" w:lineRule="exact"/>
        <w:ind w:firstLine="480"/>
        <w:rPr>
          <w:rFonts w:hAnsi="宋体" w:cs="宋体"/>
          <w:color w:val="auto"/>
          <w:sz w:val="24"/>
        </w:rPr>
      </w:pPr>
      <w:r>
        <w:rPr>
          <w:rFonts w:hint="eastAsia" w:hAnsi="宋体" w:cs="宋体"/>
          <w:color w:val="auto"/>
          <w:sz w:val="24"/>
        </w:rPr>
        <w:t>2.1.1资格性检查。依据法律法规和比选文件的规定，对响应文件中的资格证明、比选保证金等进行审查，以确定供应商是否具备比选资格。</w:t>
      </w:r>
    </w:p>
    <w:p>
      <w:pPr>
        <w:spacing w:line="400" w:lineRule="exact"/>
        <w:ind w:firstLine="480"/>
        <w:rPr>
          <w:rFonts w:hAnsi="宋体" w:cs="宋体"/>
          <w:color w:val="auto"/>
          <w:sz w:val="24"/>
        </w:rPr>
      </w:pPr>
      <w:r>
        <w:rPr>
          <w:rFonts w:hint="eastAsia" w:hAnsi="宋体" w:cs="宋体"/>
          <w:color w:val="auto"/>
          <w:sz w:val="24"/>
        </w:rPr>
        <w:t>2.1.2符合性检查。依据比选文件的规定，从响应文件的有效性、完整性和对比选文件的响应程度进行审查，以确定是否对比选文件的实质性要求作出响应。</w:t>
      </w:r>
    </w:p>
    <w:p>
      <w:pPr>
        <w:spacing w:line="400" w:lineRule="exact"/>
        <w:ind w:firstLine="480"/>
        <w:rPr>
          <w:rFonts w:hAnsi="宋体" w:cs="宋体"/>
          <w:color w:val="auto"/>
          <w:sz w:val="24"/>
        </w:rPr>
      </w:pPr>
      <w:r>
        <w:rPr>
          <w:rFonts w:hint="eastAsia" w:hAnsi="宋体" w:cs="宋体"/>
          <w:color w:val="auto"/>
          <w:sz w:val="24"/>
        </w:rPr>
        <w:t>2.2澄清有关问题。对响应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响应文件的范围或者改变响应文件的实质性内容。</w:t>
      </w:r>
    </w:p>
    <w:p>
      <w:pPr>
        <w:spacing w:line="400" w:lineRule="exact"/>
        <w:ind w:firstLine="480"/>
        <w:rPr>
          <w:rFonts w:hAnsi="宋体" w:cs="宋体"/>
          <w:color w:val="auto"/>
          <w:sz w:val="24"/>
        </w:rPr>
      </w:pPr>
      <w:r>
        <w:rPr>
          <w:rFonts w:hint="eastAsia" w:hAnsi="宋体" w:cs="宋体"/>
          <w:color w:val="auto"/>
          <w:sz w:val="24"/>
        </w:rPr>
        <w:t>2.3比较与评价。按比选文件中规定的评标方法和标准，对资格性检查和符合性检查合格的响应文件进行商务和技术评估，综合比较与评价。</w:t>
      </w:r>
    </w:p>
    <w:p>
      <w:pPr>
        <w:spacing w:line="400" w:lineRule="exact"/>
        <w:ind w:firstLine="480"/>
        <w:rPr>
          <w:rFonts w:hAnsi="宋体" w:cs="宋体"/>
          <w:color w:val="auto"/>
          <w:sz w:val="24"/>
        </w:rPr>
      </w:pPr>
      <w:r>
        <w:rPr>
          <w:rFonts w:hint="eastAsia" w:hAnsi="宋体" w:cs="宋体"/>
          <w:color w:val="auto"/>
          <w:sz w:val="24"/>
        </w:rPr>
        <w:t>2.4推荐中标候选供应商名单。中标候选供应商数量应当根据采购需要确定，但必须按顺序排列中标候选供应商。</w:t>
      </w:r>
    </w:p>
    <w:p>
      <w:pPr>
        <w:spacing w:line="400" w:lineRule="exact"/>
        <w:ind w:firstLine="480"/>
        <w:rPr>
          <w:rFonts w:hAnsi="宋体" w:cs="宋体"/>
          <w:color w:val="auto"/>
          <w:sz w:val="24"/>
        </w:rPr>
      </w:pPr>
      <w:r>
        <w:rPr>
          <w:rFonts w:hint="eastAsia" w:hAnsi="宋体" w:cs="宋体"/>
          <w:color w:val="auto"/>
          <w:sz w:val="24"/>
        </w:rPr>
        <w:t>2.5编写评标报告。评标报告是评标委员会根据全体评标成员签字的原始评标记录和评标结果编写的报告。</w:t>
      </w:r>
    </w:p>
    <w:p>
      <w:pPr>
        <w:pStyle w:val="3"/>
        <w:spacing w:line="400" w:lineRule="exact"/>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3. 定标及定标程序</w:t>
      </w:r>
      <w:bookmarkEnd w:id="167"/>
    </w:p>
    <w:p>
      <w:pPr>
        <w:spacing w:line="400" w:lineRule="exact"/>
        <w:ind w:firstLine="480" w:firstLineChars="200"/>
        <w:rPr>
          <w:rFonts w:hAnsi="宋体" w:cs="宋体"/>
          <w:color w:val="auto"/>
          <w:sz w:val="24"/>
        </w:rPr>
      </w:pPr>
      <w:r>
        <w:rPr>
          <w:rFonts w:hint="eastAsia" w:hAnsi="宋体" w:cs="宋体"/>
          <w:color w:val="auto"/>
          <w:sz w:val="24"/>
        </w:rPr>
        <w:t xml:space="preserve"> 3.1 评委会将评标情况写出书面报告，推荐成交候选人，并按照综合得分高低标明排列顺序。综合得分相同的，按报价由低到高顺序排列。得分且报价相同的，按服务指标优劣顺序排列。</w:t>
      </w:r>
    </w:p>
    <w:p>
      <w:pPr>
        <w:spacing w:line="400" w:lineRule="exact"/>
        <w:ind w:firstLine="480" w:firstLineChars="200"/>
        <w:jc w:val="left"/>
        <w:rPr>
          <w:rFonts w:hAnsi="宋体" w:cs="宋体"/>
          <w:color w:val="auto"/>
          <w:sz w:val="24"/>
        </w:rPr>
      </w:pPr>
      <w:r>
        <w:rPr>
          <w:rFonts w:hint="eastAsia" w:hAnsi="宋体" w:cs="宋体"/>
          <w:color w:val="auto"/>
          <w:sz w:val="24"/>
        </w:rPr>
        <w:t>3.2</w:t>
      </w:r>
      <w:r>
        <w:rPr>
          <w:rFonts w:hint="eastAsia" w:hAnsi="宋体" w:cs="宋体"/>
          <w:b/>
          <w:bCs/>
          <w:color w:val="auto"/>
          <w:sz w:val="24"/>
          <w:lang w:eastAsia="zh-CN"/>
        </w:rPr>
        <w:t>古蔺县中医医院</w:t>
      </w:r>
      <w:r>
        <w:rPr>
          <w:rFonts w:hint="eastAsia" w:hAnsi="宋体" w:cs="宋体"/>
          <w:b/>
          <w:bCs/>
          <w:color w:val="auto"/>
          <w:sz w:val="24"/>
        </w:rPr>
        <w:t>官网（http://www.glxzyyy.cn/）。</w:t>
      </w:r>
      <w:r>
        <w:rPr>
          <w:rFonts w:hint="eastAsia" w:hAnsi="宋体" w:cs="宋体"/>
          <w:color w:val="auto"/>
          <w:sz w:val="24"/>
        </w:rPr>
        <w:t xml:space="preserve"> </w:t>
      </w:r>
      <w:r>
        <w:rPr>
          <w:rFonts w:hint="eastAsia" w:hAnsi="宋体" w:cs="宋体"/>
          <w:color w:val="auto"/>
          <w:sz w:val="24"/>
          <w:szCs w:val="22"/>
        </w:rPr>
        <w:t>公示</w:t>
      </w:r>
      <w:r>
        <w:rPr>
          <w:rFonts w:hint="eastAsia" w:hAnsi="宋体" w:cs="宋体"/>
          <w:color w:val="auto"/>
          <w:sz w:val="24"/>
        </w:rPr>
        <w:t>成交候选人，公示期不得少于1个工作日。</w:t>
      </w:r>
    </w:p>
    <w:p>
      <w:pPr>
        <w:spacing w:line="400" w:lineRule="exact"/>
        <w:ind w:firstLine="482" w:firstLineChars="200"/>
        <w:rPr>
          <w:rFonts w:hAnsi="宋体" w:cs="宋体"/>
          <w:b/>
          <w:bCs/>
          <w:color w:val="auto"/>
          <w:sz w:val="24"/>
        </w:rPr>
      </w:pPr>
      <w:r>
        <w:rPr>
          <w:rFonts w:hint="eastAsia" w:hAnsi="宋体" w:cs="宋体"/>
          <w:b/>
          <w:bCs/>
          <w:color w:val="auto"/>
          <w:sz w:val="24"/>
        </w:rPr>
        <w:t>注意，比选人按照推荐的成交候选人顺序确定成交供应商，不能认为比选人只能确定第一成交候选人为成交供应商，比选人有正当理由的，可以确定后一顺序成交候选人为成交供应商，依次类推。</w:t>
      </w:r>
    </w:p>
    <w:p>
      <w:pPr>
        <w:spacing w:line="400" w:lineRule="exact"/>
        <w:ind w:firstLine="480" w:firstLineChars="200"/>
        <w:rPr>
          <w:rFonts w:hAnsi="宋体" w:cs="宋体"/>
          <w:color w:val="auto"/>
          <w:sz w:val="24"/>
        </w:rPr>
      </w:pPr>
      <w:r>
        <w:rPr>
          <w:rFonts w:hint="eastAsia" w:hAnsi="宋体" w:cs="宋体"/>
          <w:color w:val="auto"/>
          <w:sz w:val="24"/>
        </w:rPr>
        <w:t>3.3比选人根据确定的成交供应商，向成交供应商发出成交通知书。</w:t>
      </w:r>
    </w:p>
    <w:p>
      <w:pPr>
        <w:spacing w:line="400" w:lineRule="exact"/>
        <w:rPr>
          <w:rFonts w:hAnsi="宋体" w:cs="宋体"/>
          <w:color w:val="auto"/>
          <w:sz w:val="24"/>
        </w:rPr>
      </w:pPr>
      <w:bookmarkStart w:id="168" w:name="_Toc217446101"/>
      <w:r>
        <w:rPr>
          <w:rFonts w:hint="eastAsia" w:hAnsi="宋体" w:cs="宋体"/>
          <w:color w:val="auto"/>
          <w:sz w:val="24"/>
        </w:rPr>
        <w:t xml:space="preserve">    3.4比选采购单位不解释中标或落标原因，不退回响应文件和其他投标资料。</w:t>
      </w:r>
    </w:p>
    <w:p>
      <w:pPr>
        <w:pStyle w:val="3"/>
        <w:spacing w:line="400" w:lineRule="exact"/>
        <w:ind w:firstLine="482" w:firstLineChars="200"/>
        <w:rPr>
          <w:rFonts w:ascii="宋体" w:hAnsi="宋体" w:eastAsia="宋体" w:cs="宋体"/>
          <w:color w:val="auto"/>
          <w:sz w:val="24"/>
        </w:rPr>
      </w:pPr>
      <w:r>
        <w:rPr>
          <w:rFonts w:hint="eastAsia" w:ascii="宋体" w:hAnsi="宋体" w:eastAsia="宋体" w:cs="宋体"/>
          <w:color w:val="auto"/>
          <w:sz w:val="24"/>
        </w:rPr>
        <w:t>4. 评标方法</w:t>
      </w:r>
      <w:bookmarkEnd w:id="168"/>
    </w:p>
    <w:p>
      <w:pPr>
        <w:pStyle w:val="5"/>
        <w:spacing w:line="400" w:lineRule="exact"/>
        <w:ind w:firstLine="120" w:firstLineChars="50"/>
        <w:rPr>
          <w:rFonts w:ascii="宋体" w:hAnsi="宋体" w:cs="宋体"/>
          <w:color w:val="auto"/>
          <w:sz w:val="24"/>
        </w:rPr>
      </w:pPr>
      <w:r>
        <w:rPr>
          <w:rFonts w:hint="eastAsia" w:ascii="宋体" w:hAnsi="宋体" w:cs="宋体"/>
          <w:color w:val="auto"/>
          <w:sz w:val="24"/>
        </w:rPr>
        <w:t>（见供应商须知前附表）</w:t>
      </w:r>
    </w:p>
    <w:p>
      <w:pPr>
        <w:pStyle w:val="3"/>
        <w:spacing w:line="400" w:lineRule="exact"/>
        <w:ind w:firstLine="482" w:firstLineChars="200"/>
        <w:rPr>
          <w:rFonts w:ascii="宋体" w:hAnsi="宋体" w:eastAsia="宋体" w:cs="宋体"/>
          <w:color w:val="auto"/>
          <w:sz w:val="24"/>
        </w:rPr>
      </w:pPr>
      <w:bookmarkStart w:id="169" w:name="_Toc217446103"/>
      <w:r>
        <w:rPr>
          <w:rFonts w:hint="eastAsia" w:ascii="宋体" w:hAnsi="宋体" w:eastAsia="宋体" w:cs="宋体"/>
          <w:color w:val="auto"/>
          <w:sz w:val="24"/>
        </w:rPr>
        <w:t>5. 评标细则及标准（综合评分法）</w:t>
      </w:r>
      <w:bookmarkEnd w:id="169"/>
    </w:p>
    <w:p>
      <w:pPr>
        <w:spacing w:line="400" w:lineRule="exact"/>
        <w:ind w:firstLine="480" w:firstLineChars="200"/>
        <w:rPr>
          <w:rFonts w:hAnsi="宋体" w:cs="宋体"/>
          <w:color w:val="auto"/>
          <w:sz w:val="24"/>
        </w:rPr>
      </w:pPr>
      <w:r>
        <w:rPr>
          <w:rFonts w:hint="eastAsia" w:hAnsi="宋体" w:cs="宋体"/>
          <w:color w:val="auto"/>
          <w:sz w:val="24"/>
        </w:rPr>
        <w:t>5.1 本次综合评分的主要因素详见评分表。</w:t>
      </w:r>
    </w:p>
    <w:p>
      <w:pPr>
        <w:spacing w:line="400" w:lineRule="exact"/>
        <w:ind w:firstLine="480" w:firstLineChars="200"/>
        <w:rPr>
          <w:rFonts w:hAnsi="宋体" w:cs="宋体"/>
          <w:color w:val="auto"/>
          <w:sz w:val="24"/>
        </w:rPr>
      </w:pPr>
      <w:r>
        <w:rPr>
          <w:rFonts w:hint="eastAsia" w:hAnsi="宋体" w:cs="宋体"/>
          <w:color w:val="auto"/>
          <w:sz w:val="24"/>
        </w:rPr>
        <w:t>5.2 除价格因素外，评委会成员应依据响应文件规定的评分标准和方法独立对其他因素进行比较打分。</w:t>
      </w:r>
    </w:p>
    <w:p>
      <w:pPr>
        <w:pStyle w:val="18"/>
        <w:tabs>
          <w:tab w:val="left" w:pos="600"/>
        </w:tabs>
        <w:spacing w:line="400" w:lineRule="exact"/>
        <w:ind w:firstLine="480" w:firstLineChars="200"/>
        <w:rPr>
          <w:rFonts w:hAnsi="宋体" w:cs="宋体"/>
          <w:color w:val="auto"/>
          <w:sz w:val="24"/>
          <w:szCs w:val="24"/>
        </w:rPr>
      </w:pPr>
      <w:r>
        <w:rPr>
          <w:rFonts w:hint="eastAsia" w:hAnsi="宋体" w:cs="宋体"/>
          <w:color w:val="auto"/>
          <w:sz w:val="24"/>
          <w:szCs w:val="24"/>
        </w:rPr>
        <w:t>5.3 在评标过程中，响应文件响应比选文件出现的偏离，分为实质性偏离和非实质性偏离。</w:t>
      </w:r>
    </w:p>
    <w:p>
      <w:pPr>
        <w:pStyle w:val="18"/>
        <w:tabs>
          <w:tab w:val="left" w:pos="600"/>
        </w:tabs>
        <w:spacing w:line="400" w:lineRule="exact"/>
        <w:ind w:firstLine="480" w:firstLineChars="200"/>
        <w:rPr>
          <w:rFonts w:hAnsi="宋体" w:cs="宋体"/>
          <w:color w:val="auto"/>
          <w:sz w:val="24"/>
          <w:szCs w:val="24"/>
        </w:rPr>
      </w:pPr>
      <w:r>
        <w:rPr>
          <w:rFonts w:hint="eastAsia" w:hAnsi="宋体" w:cs="宋体"/>
          <w:color w:val="auto"/>
          <w:sz w:val="24"/>
          <w:szCs w:val="24"/>
        </w:rPr>
        <w:t>5.3.1实质性偏离是指响应文件未能实质响应比选文件的要求。以下情况属于重大偏离：</w:t>
      </w:r>
    </w:p>
    <w:p>
      <w:pPr>
        <w:spacing w:line="400" w:lineRule="exact"/>
        <w:ind w:firstLine="480" w:firstLineChars="200"/>
        <w:rPr>
          <w:rFonts w:hAnsi="宋体" w:cs="宋体"/>
          <w:color w:val="auto"/>
          <w:sz w:val="24"/>
        </w:rPr>
      </w:pPr>
      <w:r>
        <w:rPr>
          <w:rFonts w:hint="eastAsia" w:hAnsi="宋体" w:cs="宋体"/>
          <w:color w:val="auto"/>
          <w:sz w:val="24"/>
        </w:rPr>
        <w:t>（1）比选函、法定代表人授权委托书、开标一览表没有按比选文件的规定和要求签字或盖章；</w:t>
      </w:r>
    </w:p>
    <w:p>
      <w:pPr>
        <w:spacing w:line="400" w:lineRule="exact"/>
        <w:ind w:firstLine="480" w:firstLineChars="200"/>
        <w:rPr>
          <w:rFonts w:hAnsi="宋体" w:cs="宋体"/>
          <w:color w:val="auto"/>
          <w:sz w:val="24"/>
        </w:rPr>
      </w:pPr>
      <w:r>
        <w:rPr>
          <w:rFonts w:hint="eastAsia" w:hAnsi="宋体" w:cs="宋体"/>
          <w:color w:val="auto"/>
          <w:sz w:val="24"/>
        </w:rPr>
        <w:t>（2）响应文件中附有比选人不能接受的条件；</w:t>
      </w:r>
    </w:p>
    <w:p>
      <w:pPr>
        <w:pStyle w:val="18"/>
        <w:tabs>
          <w:tab w:val="left" w:pos="600"/>
        </w:tabs>
        <w:spacing w:line="400" w:lineRule="exact"/>
        <w:ind w:firstLine="480" w:firstLineChars="200"/>
        <w:rPr>
          <w:rFonts w:hAnsi="宋体" w:cs="宋体"/>
          <w:color w:val="auto"/>
          <w:sz w:val="24"/>
          <w:szCs w:val="24"/>
        </w:rPr>
      </w:pPr>
      <w:r>
        <w:rPr>
          <w:rFonts w:hint="eastAsia" w:hAnsi="宋体" w:cs="宋体"/>
          <w:color w:val="auto"/>
          <w:sz w:val="24"/>
          <w:szCs w:val="24"/>
        </w:rPr>
        <w:t>（3）响应文件对技术服务要求的应答明显不符合比选项目的要求；</w:t>
      </w:r>
    </w:p>
    <w:p>
      <w:pPr>
        <w:pStyle w:val="18"/>
        <w:tabs>
          <w:tab w:val="left" w:pos="600"/>
        </w:tabs>
        <w:spacing w:line="400" w:lineRule="exact"/>
        <w:ind w:firstLine="480" w:firstLineChars="200"/>
        <w:rPr>
          <w:rFonts w:hAnsi="宋体" w:cs="宋体"/>
          <w:color w:val="auto"/>
          <w:sz w:val="24"/>
          <w:szCs w:val="24"/>
        </w:rPr>
      </w:pPr>
      <w:r>
        <w:rPr>
          <w:rFonts w:hint="eastAsia" w:hAnsi="宋体" w:cs="宋体"/>
          <w:color w:val="auto"/>
          <w:sz w:val="24"/>
          <w:szCs w:val="24"/>
        </w:rPr>
        <w:t>（4）</w:t>
      </w:r>
      <w:r>
        <w:rPr>
          <w:rFonts w:hint="eastAsia" w:hAnsi="宋体" w:cs="宋体"/>
          <w:color w:val="auto"/>
          <w:sz w:val="24"/>
        </w:rPr>
        <w:t>不符合比选文件规定的其他实质性要求。</w:t>
      </w:r>
    </w:p>
    <w:p>
      <w:pPr>
        <w:pStyle w:val="18"/>
        <w:tabs>
          <w:tab w:val="left" w:pos="0"/>
        </w:tabs>
        <w:spacing w:line="400" w:lineRule="exact"/>
        <w:ind w:firstLine="480" w:firstLineChars="200"/>
        <w:rPr>
          <w:rFonts w:hAnsi="宋体" w:cs="宋体"/>
          <w:color w:val="auto"/>
          <w:sz w:val="24"/>
          <w:szCs w:val="24"/>
        </w:rPr>
      </w:pPr>
      <w:r>
        <w:rPr>
          <w:rFonts w:hint="eastAsia" w:hAnsi="宋体" w:cs="宋体"/>
          <w:color w:val="auto"/>
          <w:sz w:val="24"/>
          <w:szCs w:val="24"/>
        </w:rPr>
        <w:t>响应文件有上述情形之一的，作无效响应处理。</w:t>
      </w:r>
    </w:p>
    <w:p>
      <w:pPr>
        <w:spacing w:line="400" w:lineRule="exact"/>
        <w:ind w:firstLine="480" w:firstLineChars="200"/>
        <w:rPr>
          <w:rFonts w:hAnsi="宋体" w:cs="宋体"/>
          <w:color w:val="auto"/>
          <w:sz w:val="24"/>
        </w:rPr>
      </w:pPr>
      <w:r>
        <w:rPr>
          <w:rFonts w:hint="eastAsia" w:hAnsi="宋体" w:cs="宋体"/>
          <w:color w:val="auto"/>
          <w:sz w:val="24"/>
        </w:rPr>
        <w:t>5.3.2非实质性偏离是指响应文件在实质上响应比选文件的要求，但在个别地方存在一些不规则、不一致、不完整的内容，并且澄清、说明或者补正这些内容不会改变响应文件的实质性内容。以下情况属于非实质性偏离：</w:t>
      </w:r>
    </w:p>
    <w:p>
      <w:pPr>
        <w:spacing w:line="400" w:lineRule="exact"/>
        <w:ind w:firstLine="480" w:firstLineChars="200"/>
        <w:rPr>
          <w:rFonts w:hAnsi="宋体" w:cs="宋体"/>
          <w:color w:val="auto"/>
          <w:sz w:val="24"/>
        </w:rPr>
      </w:pPr>
      <w:r>
        <w:rPr>
          <w:rFonts w:hint="eastAsia" w:hAnsi="宋体" w:cs="宋体"/>
          <w:color w:val="auto"/>
          <w:sz w:val="24"/>
        </w:rPr>
        <w:t>（1） 文字表述的内容含义不明确；</w:t>
      </w:r>
    </w:p>
    <w:p>
      <w:pPr>
        <w:spacing w:line="400" w:lineRule="exact"/>
        <w:ind w:firstLine="480" w:firstLineChars="200"/>
        <w:rPr>
          <w:rFonts w:hAnsi="宋体" w:cs="宋体"/>
          <w:color w:val="auto"/>
          <w:sz w:val="24"/>
        </w:rPr>
      </w:pPr>
      <w:r>
        <w:rPr>
          <w:rFonts w:hint="eastAsia" w:hAnsi="宋体" w:cs="宋体"/>
          <w:color w:val="auto"/>
          <w:sz w:val="24"/>
        </w:rPr>
        <w:t>（2） 同类问题表述不一致；</w:t>
      </w:r>
    </w:p>
    <w:p>
      <w:pPr>
        <w:ind w:firstLine="480" w:firstLineChars="200"/>
        <w:rPr>
          <w:rFonts w:hAnsi="宋体" w:cs="宋体"/>
          <w:color w:val="auto"/>
          <w:sz w:val="24"/>
        </w:rPr>
      </w:pPr>
      <w:r>
        <w:rPr>
          <w:rFonts w:hint="eastAsia" w:hAnsi="宋体" w:cs="宋体"/>
          <w:color w:val="auto"/>
          <w:sz w:val="24"/>
        </w:rPr>
        <w:t>（3） 有明显文字和计算错误；</w:t>
      </w:r>
    </w:p>
    <w:p>
      <w:pPr>
        <w:ind w:firstLine="480" w:firstLineChars="200"/>
        <w:rPr>
          <w:rFonts w:hAnsi="宋体" w:cs="宋体"/>
          <w:color w:val="auto"/>
          <w:sz w:val="24"/>
        </w:rPr>
      </w:pPr>
      <w:r>
        <w:rPr>
          <w:rFonts w:hint="eastAsia" w:hAnsi="宋体" w:cs="宋体"/>
          <w:color w:val="auto"/>
          <w:sz w:val="24"/>
        </w:rPr>
        <w:t>（4） 提供的技术信息和数据资料不完整；</w:t>
      </w:r>
    </w:p>
    <w:p>
      <w:pPr>
        <w:ind w:firstLine="480" w:firstLineChars="200"/>
        <w:rPr>
          <w:rFonts w:hAnsi="宋体" w:cs="宋体"/>
          <w:color w:val="auto"/>
          <w:sz w:val="24"/>
        </w:rPr>
      </w:pPr>
      <w:r>
        <w:rPr>
          <w:rFonts w:hint="eastAsia" w:hAnsi="宋体" w:cs="宋体"/>
          <w:color w:val="auto"/>
          <w:sz w:val="24"/>
        </w:rPr>
        <w:t>（5） 评标委员会认定的其他非实质性偏离。</w:t>
      </w:r>
    </w:p>
    <w:p>
      <w:pPr>
        <w:tabs>
          <w:tab w:val="left" w:pos="7665"/>
        </w:tabs>
        <w:ind w:firstLine="480" w:firstLineChars="200"/>
        <w:rPr>
          <w:rFonts w:hAnsi="宋体" w:cs="宋体"/>
          <w:color w:val="auto"/>
          <w:sz w:val="24"/>
        </w:rPr>
      </w:pPr>
      <w:r>
        <w:rPr>
          <w:rFonts w:hint="eastAsia" w:hAnsi="宋体" w:cs="宋体"/>
          <w:color w:val="auto"/>
          <w:sz w:val="24"/>
        </w:rPr>
        <w:t>响应文件有上述（1）--（4）情形之一的，评标委员会应当书面要求供应商在规定的时间内予以澄清、说明或补正。供应商拒不或在规定的时间内没有进行澄清、说明或补正或澄清、说明、补正的内容也不能说明问题的，视为响应文件制作不规范，按每一项非实质性偏离进行扣分处理，直至该项分值扣完为止。评标委员会不接受供应商主动提出的澄清、说明或补正。</w:t>
      </w:r>
    </w:p>
    <w:p>
      <w:pPr>
        <w:pStyle w:val="18"/>
        <w:tabs>
          <w:tab w:val="left" w:pos="600"/>
        </w:tabs>
        <w:ind w:firstLine="480" w:firstLineChars="200"/>
        <w:rPr>
          <w:rFonts w:hAnsi="宋体" w:cs="宋体"/>
          <w:color w:val="auto"/>
          <w:sz w:val="24"/>
          <w:szCs w:val="24"/>
        </w:rPr>
      </w:pPr>
      <w:r>
        <w:rPr>
          <w:rFonts w:hint="eastAsia" w:hAnsi="宋体" w:cs="宋体"/>
          <w:color w:val="auto"/>
          <w:sz w:val="24"/>
          <w:szCs w:val="24"/>
        </w:rPr>
        <w:t>5.4 在响应文件初审过程中，如果出现评标委员会成员意见不一致的情况，按照少数服从多数的原则确定。</w:t>
      </w:r>
    </w:p>
    <w:p>
      <w:pPr>
        <w:pStyle w:val="18"/>
        <w:tabs>
          <w:tab w:val="left" w:pos="600"/>
        </w:tabs>
        <w:ind w:firstLine="480" w:firstLineChars="200"/>
        <w:rPr>
          <w:rFonts w:hAnsi="宋体" w:cs="宋体"/>
          <w:color w:val="auto"/>
          <w:sz w:val="24"/>
          <w:szCs w:val="24"/>
        </w:rPr>
      </w:pPr>
      <w:r>
        <w:rPr>
          <w:rFonts w:hint="eastAsia" w:hAnsi="宋体" w:cs="宋体"/>
          <w:color w:val="auto"/>
          <w:sz w:val="24"/>
          <w:szCs w:val="24"/>
        </w:rPr>
        <w:t>5.5综合评分明细表</w:t>
      </w:r>
    </w:p>
    <w:p>
      <w:pPr>
        <w:pStyle w:val="18"/>
        <w:tabs>
          <w:tab w:val="left" w:pos="600"/>
        </w:tabs>
        <w:ind w:firstLine="480" w:firstLineChars="200"/>
        <w:rPr>
          <w:rFonts w:hAnsi="宋体" w:cs="宋体"/>
          <w:color w:val="auto"/>
          <w:sz w:val="24"/>
          <w:szCs w:val="24"/>
        </w:rPr>
      </w:pPr>
      <w:r>
        <w:rPr>
          <w:rFonts w:hint="eastAsia" w:hAnsi="宋体" w:cs="宋体"/>
          <w:color w:val="auto"/>
          <w:sz w:val="24"/>
          <w:szCs w:val="24"/>
        </w:rPr>
        <w:t>5.5.1综合评分明细表的制定以科学合理、降低评标委员会自由裁量权为原则。</w:t>
      </w:r>
    </w:p>
    <w:p>
      <w:pPr>
        <w:pStyle w:val="18"/>
        <w:tabs>
          <w:tab w:val="left" w:pos="600"/>
        </w:tabs>
        <w:ind w:firstLine="480" w:firstLineChars="200"/>
        <w:rPr>
          <w:rFonts w:hAnsi="宋体" w:cs="宋体"/>
          <w:color w:val="auto"/>
          <w:sz w:val="24"/>
          <w:szCs w:val="24"/>
        </w:rPr>
      </w:pPr>
      <w:r>
        <w:rPr>
          <w:rFonts w:hint="eastAsia" w:hAnsi="宋体" w:cs="宋体"/>
          <w:color w:val="auto"/>
          <w:sz w:val="24"/>
          <w:szCs w:val="24"/>
        </w:rPr>
        <w:t>5.5.2综合评分明细表</w:t>
      </w:r>
      <w:bookmarkStart w:id="170" w:name="_Toc217446104"/>
      <w:bookmarkStart w:id="171" w:name="_Toc183582287"/>
      <w:bookmarkStart w:id="172" w:name="_Toc183682422"/>
    </w:p>
    <w:tbl>
      <w:tblPr>
        <w:tblStyle w:val="37"/>
        <w:tblpPr w:leftFromText="180" w:rightFromText="180" w:vertAnchor="text" w:horzAnchor="page" w:tblpX="1132" w:tblpY="458"/>
        <w:tblOverlap w:val="never"/>
        <w:tblW w:w="977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613"/>
        <w:gridCol w:w="1000"/>
        <w:gridCol w:w="750"/>
        <w:gridCol w:w="5350"/>
        <w:gridCol w:w="1150"/>
        <w:gridCol w:w="91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613"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00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7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53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11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c>
          <w:tcPr>
            <w:tcW w:w="912"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13"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00"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报价</w:t>
            </w:r>
            <w:r>
              <w:rPr>
                <w:rFonts w:hint="eastAsia" w:hAnsi="宋体" w:cs="宋体"/>
                <w:color w:val="auto"/>
                <w:sz w:val="21"/>
                <w:szCs w:val="21"/>
                <w:lang w:eastAsia="zh-CN"/>
              </w:rPr>
              <w:t>（</w:t>
            </w:r>
            <w:r>
              <w:rPr>
                <w:rFonts w:hint="eastAsia" w:hAnsi="宋体" w:cs="宋体"/>
                <w:color w:val="auto"/>
                <w:sz w:val="21"/>
                <w:szCs w:val="21"/>
                <w:lang w:val="en-US" w:eastAsia="zh-CN"/>
              </w:rPr>
              <w:t>1）1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p>
        </w:tc>
        <w:tc>
          <w:tcPr>
            <w:tcW w:w="7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hAnsi="宋体" w:cs="宋体"/>
                <w:color w:val="auto"/>
                <w:sz w:val="21"/>
                <w:szCs w:val="21"/>
                <w:lang w:val="en-US" w:eastAsia="zh-CN"/>
              </w:rPr>
              <w:t>10</w:t>
            </w:r>
            <w:r>
              <w:rPr>
                <w:rFonts w:hint="eastAsia" w:ascii="宋体" w:hAnsi="宋体" w:eastAsia="宋体" w:cs="宋体"/>
                <w:color w:val="auto"/>
                <w:sz w:val="21"/>
                <w:szCs w:val="21"/>
              </w:rPr>
              <w:t>分</w:t>
            </w:r>
          </w:p>
        </w:tc>
        <w:tc>
          <w:tcPr>
            <w:tcW w:w="5350" w:type="dxa"/>
            <w:tcBorders>
              <w:tl2br w:val="nil"/>
              <w:tr2bl w:val="nil"/>
            </w:tcBorders>
            <w:tcMar>
              <w:top w:w="15" w:type="dxa"/>
              <w:left w:w="15" w:type="dxa"/>
              <w:bottom w:w="15" w:type="dxa"/>
              <w:right w:w="15" w:type="dxa"/>
            </w:tcMar>
            <w:vAlign w:val="center"/>
          </w:tcPr>
          <w:p>
            <w:pPr>
              <w:spacing w:line="240" w:lineRule="auto"/>
              <w:ind w:firstLine="420" w:firstLineChars="200"/>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针对技术服务要求中标注的“按当月挂网价执行”的产品进行统一的下浮率报价，响应报价=100%-下浮率，</w:t>
            </w:r>
            <w:r>
              <w:rPr>
                <w:rFonts w:hint="eastAsia" w:ascii="宋体" w:hAnsi="宋体" w:eastAsia="宋体" w:cs="宋体"/>
                <w:color w:val="auto"/>
                <w:sz w:val="21"/>
                <w:szCs w:val="21"/>
              </w:rPr>
              <w:t>以本次有效的最低响应报价为基准价，投标报价得分=(基准价／投标报价)x</w:t>
            </w:r>
            <w:r>
              <w:rPr>
                <w:rFonts w:hint="eastAsia" w:hAnsi="宋体" w:cs="宋体"/>
                <w:color w:val="auto"/>
                <w:sz w:val="21"/>
                <w:szCs w:val="21"/>
                <w:lang w:val="en-US" w:eastAsia="zh-CN"/>
              </w:rPr>
              <w:t>1</w:t>
            </w:r>
            <w:r>
              <w:rPr>
                <w:rFonts w:hint="eastAsia" w:ascii="宋体" w:hAnsi="宋体" w:eastAsia="宋体" w:cs="宋体"/>
                <w:color w:val="auto"/>
                <w:sz w:val="21"/>
                <w:szCs w:val="21"/>
                <w:lang w:val="en-US" w:eastAsia="zh-CN"/>
              </w:rPr>
              <w:t>0</w:t>
            </w:r>
          </w:p>
        </w:tc>
        <w:tc>
          <w:tcPr>
            <w:tcW w:w="1150"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p>
        </w:tc>
        <w:tc>
          <w:tcPr>
            <w:tcW w:w="912"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共同评审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13"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2</w:t>
            </w:r>
          </w:p>
        </w:tc>
        <w:tc>
          <w:tcPr>
            <w:tcW w:w="1000"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报价</w:t>
            </w:r>
            <w:r>
              <w:rPr>
                <w:rFonts w:hint="eastAsia" w:hAnsi="宋体" w:cs="宋体"/>
                <w:color w:val="auto"/>
                <w:sz w:val="21"/>
                <w:szCs w:val="21"/>
                <w:lang w:eastAsia="zh-CN"/>
              </w:rPr>
              <w:t>（</w:t>
            </w:r>
            <w:r>
              <w:rPr>
                <w:rFonts w:hint="eastAsia" w:hAnsi="宋体" w:cs="宋体"/>
                <w:color w:val="auto"/>
                <w:sz w:val="21"/>
                <w:szCs w:val="21"/>
                <w:lang w:val="en-US" w:eastAsia="zh-CN"/>
              </w:rPr>
              <w:t>2）1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p>
        </w:tc>
        <w:tc>
          <w:tcPr>
            <w:tcW w:w="7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10</w:t>
            </w:r>
            <w:r>
              <w:rPr>
                <w:rFonts w:hint="eastAsia" w:ascii="宋体" w:hAnsi="宋体" w:eastAsia="宋体" w:cs="宋体"/>
                <w:color w:val="auto"/>
                <w:sz w:val="21"/>
                <w:szCs w:val="21"/>
              </w:rPr>
              <w:t>分</w:t>
            </w:r>
          </w:p>
        </w:tc>
        <w:tc>
          <w:tcPr>
            <w:tcW w:w="5350" w:type="dxa"/>
            <w:tcBorders>
              <w:tl2br w:val="nil"/>
              <w:tr2bl w:val="nil"/>
            </w:tcBorders>
            <w:tcMar>
              <w:top w:w="15" w:type="dxa"/>
              <w:left w:w="15" w:type="dxa"/>
              <w:bottom w:w="15" w:type="dxa"/>
              <w:right w:w="15" w:type="dxa"/>
            </w:tcMar>
            <w:vAlign w:val="center"/>
          </w:tcPr>
          <w:p>
            <w:pPr>
              <w:spacing w:line="240" w:lineRule="auto"/>
              <w:ind w:firstLine="420" w:firstLineChars="200"/>
              <w:rPr>
                <w:rFonts w:hint="eastAsia" w:ascii="宋体" w:hAnsi="宋体" w:eastAsia="宋体" w:cs="宋体"/>
                <w:color w:val="auto"/>
                <w:sz w:val="21"/>
                <w:szCs w:val="21"/>
              </w:rPr>
            </w:pPr>
            <w:r>
              <w:rPr>
                <w:rFonts w:hint="eastAsia" w:hAnsi="宋体" w:cs="宋体"/>
                <w:color w:val="auto"/>
                <w:sz w:val="21"/>
                <w:szCs w:val="21"/>
                <w:lang w:val="en-US" w:eastAsia="zh-CN"/>
              </w:rPr>
              <w:t>针对技术服务要求中“明确了最高限价”的产品进行统一的下浮率报价，响应报价=100%-下浮率，</w:t>
            </w:r>
            <w:r>
              <w:rPr>
                <w:rFonts w:hint="eastAsia" w:ascii="宋体" w:hAnsi="宋体" w:eastAsia="宋体" w:cs="宋体"/>
                <w:color w:val="auto"/>
                <w:sz w:val="21"/>
                <w:szCs w:val="21"/>
              </w:rPr>
              <w:t>以本次有效的最低响应报价为基准价，投标报价得分=(基准价／投标报价)x</w:t>
            </w:r>
            <w:r>
              <w:rPr>
                <w:rFonts w:hint="eastAsia" w:hAnsi="宋体" w:cs="宋体"/>
                <w:color w:val="auto"/>
                <w:sz w:val="21"/>
                <w:szCs w:val="21"/>
                <w:lang w:val="en-US" w:eastAsia="zh-CN"/>
              </w:rPr>
              <w:t>1</w:t>
            </w:r>
            <w:r>
              <w:rPr>
                <w:rFonts w:hint="eastAsia" w:ascii="宋体" w:hAnsi="宋体" w:eastAsia="宋体" w:cs="宋体"/>
                <w:color w:val="auto"/>
                <w:sz w:val="21"/>
                <w:szCs w:val="21"/>
                <w:lang w:val="en-US" w:eastAsia="zh-CN"/>
              </w:rPr>
              <w:t>0</w:t>
            </w:r>
          </w:p>
        </w:tc>
        <w:tc>
          <w:tcPr>
            <w:tcW w:w="1150"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p>
        </w:tc>
        <w:tc>
          <w:tcPr>
            <w:tcW w:w="912"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共同评审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13"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default" w:hAnsi="宋体" w:cs="宋体"/>
                <w:color w:val="auto"/>
                <w:sz w:val="21"/>
                <w:szCs w:val="21"/>
                <w:lang w:val="en-US" w:eastAsia="zh-CN"/>
              </w:rPr>
            </w:pPr>
            <w:r>
              <w:rPr>
                <w:rFonts w:hint="eastAsia" w:hAnsi="宋体" w:cs="宋体"/>
                <w:color w:val="auto"/>
                <w:sz w:val="21"/>
                <w:szCs w:val="21"/>
                <w:lang w:val="en-US" w:eastAsia="zh-CN"/>
              </w:rPr>
              <w:t>3</w:t>
            </w:r>
          </w:p>
        </w:tc>
        <w:tc>
          <w:tcPr>
            <w:tcW w:w="1000"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配送服务方案</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lang w:val="en-US" w:eastAsia="zh-CN"/>
              </w:rPr>
              <w:t>%</w:t>
            </w:r>
          </w:p>
        </w:tc>
        <w:tc>
          <w:tcPr>
            <w:tcW w:w="7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default" w:hAnsi="宋体" w:cs="宋体"/>
                <w:color w:val="auto"/>
                <w:sz w:val="21"/>
                <w:szCs w:val="21"/>
                <w:lang w:val="en-US" w:eastAsia="zh-CN"/>
              </w:rPr>
            </w:pPr>
            <w:r>
              <w:rPr>
                <w:rFonts w:hint="eastAsia" w:hAnsi="宋体" w:cs="宋体"/>
                <w:color w:val="auto"/>
                <w:sz w:val="21"/>
                <w:szCs w:val="21"/>
                <w:lang w:val="en-US" w:eastAsia="zh-CN"/>
              </w:rPr>
              <w:t>36分</w:t>
            </w:r>
          </w:p>
        </w:tc>
        <w:tc>
          <w:tcPr>
            <w:tcW w:w="5350" w:type="dxa"/>
            <w:tcBorders>
              <w:tl2br w:val="nil"/>
              <w:tr2bl w:val="nil"/>
            </w:tcBorders>
            <w:tcMar>
              <w:top w:w="15" w:type="dxa"/>
              <w:left w:w="15" w:type="dxa"/>
              <w:bottom w:w="15" w:type="dxa"/>
              <w:right w:w="15" w:type="dxa"/>
            </w:tcMar>
            <w:vAlign w:val="center"/>
          </w:tcPr>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根据本项目服务技术要求及商务要求拟定配送服务方案，方案包含但不限于①产品的采购流程和质量把控措施；②配送服务的保证（包括车辆，人员等）；③配送产品质量管理与措施；④配送的时效性保证措施；⑤常温库冷藏库仓库照片等；</w:t>
            </w:r>
          </w:p>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综合评审优秀的得36-30分，良的得29-21分，中的得20-10分，差的得9-1分，未提供的不得分。</w:t>
            </w:r>
          </w:p>
        </w:tc>
        <w:tc>
          <w:tcPr>
            <w:tcW w:w="1150"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p>
        </w:tc>
        <w:tc>
          <w:tcPr>
            <w:tcW w:w="912"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共同评审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13"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default" w:hAnsi="宋体" w:cs="宋体"/>
                <w:color w:val="auto"/>
                <w:sz w:val="21"/>
                <w:szCs w:val="21"/>
                <w:lang w:val="en-US" w:eastAsia="zh-CN"/>
              </w:rPr>
            </w:pPr>
            <w:r>
              <w:rPr>
                <w:rFonts w:hint="eastAsia" w:hAnsi="宋体" w:cs="宋体"/>
                <w:color w:val="auto"/>
                <w:sz w:val="21"/>
                <w:szCs w:val="21"/>
                <w:lang w:val="en-US" w:eastAsia="zh-CN"/>
              </w:rPr>
              <w:t>4</w:t>
            </w:r>
          </w:p>
        </w:tc>
        <w:tc>
          <w:tcPr>
            <w:tcW w:w="1000"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应急预案20%</w:t>
            </w:r>
          </w:p>
        </w:tc>
        <w:tc>
          <w:tcPr>
            <w:tcW w:w="7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default" w:hAnsi="宋体" w:cs="宋体"/>
                <w:color w:val="auto"/>
                <w:sz w:val="21"/>
                <w:szCs w:val="21"/>
                <w:lang w:val="en-US" w:eastAsia="zh-CN"/>
              </w:rPr>
            </w:pPr>
            <w:r>
              <w:rPr>
                <w:rFonts w:hint="eastAsia" w:hAnsi="宋体" w:cs="宋体"/>
                <w:color w:val="auto"/>
                <w:sz w:val="21"/>
                <w:szCs w:val="21"/>
                <w:lang w:val="en-US" w:eastAsia="zh-CN"/>
              </w:rPr>
              <w:t>20分</w:t>
            </w:r>
          </w:p>
        </w:tc>
        <w:tc>
          <w:tcPr>
            <w:tcW w:w="5350" w:type="dxa"/>
            <w:tcBorders>
              <w:tl2br w:val="nil"/>
              <w:tr2bl w:val="nil"/>
            </w:tcBorders>
            <w:tcMar>
              <w:top w:w="15" w:type="dxa"/>
              <w:left w:w="15" w:type="dxa"/>
              <w:bottom w:w="15" w:type="dxa"/>
              <w:right w:w="15" w:type="dxa"/>
            </w:tcMar>
            <w:vAlign w:val="center"/>
          </w:tcPr>
          <w:p>
            <w:pPr>
              <w:spacing w:line="240" w:lineRule="auto"/>
              <w:ind w:firstLine="420" w:firstLineChars="200"/>
              <w:rPr>
                <w:rFonts w:hint="eastAsia" w:hAnsi="宋体" w:cs="宋体"/>
                <w:color w:val="auto"/>
                <w:sz w:val="21"/>
                <w:szCs w:val="21"/>
                <w:lang w:val="en-US" w:eastAsia="zh-CN"/>
              </w:rPr>
            </w:pPr>
            <w:r>
              <w:rPr>
                <w:rFonts w:hint="eastAsia" w:hAnsi="宋体" w:cs="宋体"/>
                <w:color w:val="auto"/>
                <w:sz w:val="21"/>
                <w:szCs w:val="21"/>
                <w:lang w:val="en-US" w:eastAsia="zh-CN"/>
              </w:rPr>
              <w:t>供应商根据本项目实际情况提供耗材配送服务应急预案，包括但不限于①临床的临时需求；②发生影响正常配送的突发情况的应急配送方案；③因耗材质量引发事故的应急处置预案；④应急管理机构及应急工作队伍及联系方式等；</w:t>
            </w:r>
          </w:p>
          <w:p>
            <w:pPr>
              <w:spacing w:line="240" w:lineRule="auto"/>
              <w:ind w:firstLine="420" w:firstLineChars="200"/>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rPr>
              <w:t>综合评审优秀的得20-15分，良的得14-9分，中的得8-5分，差的得4-1分，未提供的不得分。</w:t>
            </w:r>
          </w:p>
        </w:tc>
        <w:tc>
          <w:tcPr>
            <w:tcW w:w="1150"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p>
        </w:tc>
        <w:tc>
          <w:tcPr>
            <w:tcW w:w="912"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共同评审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13"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default" w:hAnsi="宋体" w:cs="宋体"/>
                <w:color w:val="auto"/>
                <w:sz w:val="21"/>
                <w:szCs w:val="21"/>
                <w:lang w:val="en-US" w:eastAsia="zh-CN"/>
              </w:rPr>
            </w:pPr>
            <w:r>
              <w:rPr>
                <w:rFonts w:hint="eastAsia" w:hAnsi="宋体" w:cs="宋体"/>
                <w:color w:val="auto"/>
                <w:sz w:val="21"/>
                <w:szCs w:val="21"/>
                <w:lang w:val="en-US" w:eastAsia="zh-CN"/>
              </w:rPr>
              <w:t>5</w:t>
            </w:r>
          </w:p>
        </w:tc>
        <w:tc>
          <w:tcPr>
            <w:tcW w:w="1000"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售后服务方案18%</w:t>
            </w:r>
          </w:p>
        </w:tc>
        <w:tc>
          <w:tcPr>
            <w:tcW w:w="7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default" w:hAnsi="宋体" w:cs="宋体"/>
                <w:color w:val="auto"/>
                <w:sz w:val="21"/>
                <w:szCs w:val="21"/>
                <w:lang w:val="en-US" w:eastAsia="zh-CN"/>
              </w:rPr>
            </w:pPr>
            <w:r>
              <w:rPr>
                <w:rFonts w:hint="eastAsia" w:hAnsi="宋体" w:cs="宋体"/>
                <w:color w:val="auto"/>
                <w:sz w:val="21"/>
                <w:szCs w:val="21"/>
                <w:lang w:val="en-US" w:eastAsia="zh-CN"/>
              </w:rPr>
              <w:t>18分</w:t>
            </w:r>
          </w:p>
        </w:tc>
        <w:tc>
          <w:tcPr>
            <w:tcW w:w="5350" w:type="dxa"/>
            <w:tcBorders>
              <w:tl2br w:val="nil"/>
              <w:tr2bl w:val="nil"/>
            </w:tcBorders>
            <w:tcMar>
              <w:top w:w="15" w:type="dxa"/>
              <w:left w:w="15" w:type="dxa"/>
              <w:bottom w:w="15" w:type="dxa"/>
              <w:right w:w="15" w:type="dxa"/>
            </w:tcMar>
            <w:vAlign w:val="center"/>
          </w:tcPr>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供应商根据本项目实际情况提的售后服务方案，包括但不限于①具体的响应措施；②退换方案；③配合采购人实施网上采购；</w:t>
            </w:r>
          </w:p>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综合评审优秀的得18-15分，良的得14-9分，中的得8-5分，差的得4-1分，未提供的不得分。</w:t>
            </w:r>
          </w:p>
        </w:tc>
        <w:tc>
          <w:tcPr>
            <w:tcW w:w="1150"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p>
        </w:tc>
        <w:tc>
          <w:tcPr>
            <w:tcW w:w="912"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共同评审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13"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default" w:hAnsi="宋体" w:cs="宋体"/>
                <w:color w:val="auto"/>
                <w:sz w:val="21"/>
                <w:szCs w:val="21"/>
                <w:lang w:val="en-US" w:eastAsia="zh-CN"/>
              </w:rPr>
            </w:pPr>
            <w:r>
              <w:rPr>
                <w:rFonts w:hint="eastAsia" w:hAnsi="宋体" w:cs="宋体"/>
                <w:color w:val="auto"/>
                <w:sz w:val="21"/>
                <w:szCs w:val="21"/>
                <w:lang w:val="en-US" w:eastAsia="zh-CN"/>
              </w:rPr>
              <w:t>6</w:t>
            </w:r>
          </w:p>
        </w:tc>
        <w:tc>
          <w:tcPr>
            <w:tcW w:w="1000"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履约能力</w:t>
            </w:r>
          </w:p>
          <w:p>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p>
        </w:tc>
        <w:tc>
          <w:tcPr>
            <w:tcW w:w="750"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hint="eastAsia" w:hAnsi="宋体" w:cs="宋体"/>
                <w:color w:val="auto"/>
                <w:sz w:val="21"/>
                <w:szCs w:val="21"/>
                <w:lang w:val="en-US" w:eastAsia="zh-CN"/>
              </w:rPr>
            </w:pPr>
            <w:r>
              <w:rPr>
                <w:rFonts w:hint="eastAsia" w:hAnsi="宋体" w:cs="宋体"/>
                <w:color w:val="auto"/>
                <w:sz w:val="21"/>
                <w:szCs w:val="21"/>
                <w:lang w:val="en-US" w:eastAsia="zh-CN"/>
              </w:rPr>
              <w:t>6分</w:t>
            </w:r>
          </w:p>
        </w:tc>
        <w:tc>
          <w:tcPr>
            <w:tcW w:w="5350" w:type="dxa"/>
            <w:tcBorders>
              <w:tl2br w:val="nil"/>
              <w:tr2bl w:val="nil"/>
            </w:tcBorders>
            <w:tcMar>
              <w:top w:w="15" w:type="dxa"/>
              <w:left w:w="15" w:type="dxa"/>
              <w:bottom w:w="15" w:type="dxa"/>
              <w:right w:w="15" w:type="dxa"/>
            </w:tcMar>
            <w:vAlign w:val="center"/>
          </w:tcPr>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供应商提供2023年1月1日（含1日）至递交响应文件截止时间签署的类似业绩（含完成的和正在履约的），每提供一个得2分，最多得6分。</w:t>
            </w:r>
          </w:p>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注：1.提供中标（成交）通知书或合同复印件；</w:t>
            </w:r>
          </w:p>
          <w:p>
            <w:pPr>
              <w:spacing w:line="240" w:lineRule="auto"/>
              <w:ind w:firstLine="420" w:firstLineChars="200"/>
              <w:rPr>
                <w:rFonts w:hint="eastAsia" w:hAnsi="宋体" w:cs="宋体"/>
                <w:color w:val="auto"/>
                <w:sz w:val="21"/>
                <w:szCs w:val="21"/>
                <w:lang w:val="en-US" w:eastAsia="zh-CN"/>
              </w:rPr>
            </w:pPr>
            <w:r>
              <w:rPr>
                <w:rFonts w:hint="eastAsia" w:ascii="宋体" w:hAnsi="宋体" w:eastAsia="宋体" w:cs="宋体"/>
                <w:color w:val="auto"/>
                <w:sz w:val="21"/>
                <w:szCs w:val="21"/>
                <w:lang w:val="en-US" w:eastAsia="zh-CN"/>
              </w:rPr>
              <w:t>2.类似业绩指公立医疗机构医用耗材供应类业绩。</w:t>
            </w:r>
          </w:p>
        </w:tc>
        <w:tc>
          <w:tcPr>
            <w:tcW w:w="1150"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p>
        </w:tc>
        <w:tc>
          <w:tcPr>
            <w:tcW w:w="912" w:type="dxa"/>
            <w:tcBorders>
              <w:tl2br w:val="nil"/>
              <w:tr2bl w:val="nil"/>
            </w:tcBorders>
            <w:tcMar>
              <w:top w:w="15" w:type="dxa"/>
              <w:left w:w="15" w:type="dxa"/>
              <w:bottom w:w="15" w:type="dxa"/>
              <w:right w:w="15" w:type="dxa"/>
            </w:tcMar>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共同评审</w:t>
            </w:r>
          </w:p>
        </w:tc>
      </w:tr>
    </w:tbl>
    <w:p>
      <w:pPr>
        <w:pStyle w:val="174"/>
        <w:widowControl/>
        <w:spacing w:line="300" w:lineRule="exact"/>
        <w:jc w:val="both"/>
        <w:rPr>
          <w:rStyle w:val="175"/>
          <w:rFonts w:hAnsi="宋体" w:cs="宋体"/>
          <w:b/>
          <w:bCs/>
          <w:color w:val="auto"/>
          <w:kern w:val="2"/>
          <w:sz w:val="24"/>
        </w:rPr>
      </w:pPr>
    </w:p>
    <w:p>
      <w:pPr>
        <w:pStyle w:val="174"/>
        <w:widowControl/>
        <w:spacing w:line="300" w:lineRule="exact"/>
        <w:ind w:left="415" w:leftChars="122"/>
        <w:jc w:val="both"/>
        <w:rPr>
          <w:rStyle w:val="175"/>
          <w:rFonts w:hint="eastAsia" w:hAnsi="宋体" w:cs="宋体"/>
          <w:b/>
          <w:bCs/>
          <w:color w:val="auto"/>
          <w:kern w:val="2"/>
          <w:sz w:val="24"/>
        </w:rPr>
      </w:pPr>
      <w:r>
        <w:rPr>
          <w:rStyle w:val="175"/>
          <w:rFonts w:hint="eastAsia" w:hAnsi="宋体" w:cs="宋体"/>
          <w:b/>
          <w:bCs/>
          <w:color w:val="auto"/>
          <w:kern w:val="2"/>
          <w:sz w:val="24"/>
        </w:rPr>
        <w:t>注：1.评分的取值按四舍五入法，保留小数点后两位。</w:t>
      </w:r>
    </w:p>
    <w:p>
      <w:pPr>
        <w:pStyle w:val="4"/>
        <w:spacing w:line="400" w:lineRule="exact"/>
        <w:rPr>
          <w:rFonts w:ascii="宋体" w:hAnsi="宋体" w:cs="宋体"/>
          <w:color w:val="auto"/>
          <w:sz w:val="24"/>
        </w:rPr>
      </w:pPr>
      <w:r>
        <w:rPr>
          <w:rFonts w:hint="eastAsia" w:ascii="宋体" w:hAnsi="宋体" w:cs="宋体"/>
          <w:bCs/>
          <w:color w:val="auto"/>
          <w:sz w:val="24"/>
        </w:rPr>
        <w:t>6．计算</w:t>
      </w:r>
      <w:r>
        <w:rPr>
          <w:rFonts w:hint="eastAsia" w:ascii="宋体" w:hAnsi="宋体" w:cs="宋体"/>
          <w:color w:val="auto"/>
          <w:sz w:val="24"/>
        </w:rPr>
        <w:t>错误的修改</w:t>
      </w:r>
      <w:bookmarkEnd w:id="170"/>
      <w:bookmarkEnd w:id="171"/>
      <w:bookmarkEnd w:id="172"/>
    </w:p>
    <w:p>
      <w:pPr>
        <w:widowControl/>
        <w:autoSpaceDE w:val="0"/>
        <w:autoSpaceDN w:val="0"/>
        <w:spacing w:line="400" w:lineRule="exact"/>
        <w:ind w:right="53"/>
        <w:textAlignment w:val="bottom"/>
        <w:rPr>
          <w:rFonts w:hAnsi="宋体" w:cs="宋体"/>
          <w:color w:val="auto"/>
          <w:sz w:val="24"/>
        </w:rPr>
      </w:pPr>
      <w:r>
        <w:rPr>
          <w:rFonts w:hint="eastAsia" w:hAnsi="宋体" w:cs="宋体"/>
          <w:color w:val="auto"/>
          <w:sz w:val="24"/>
        </w:rPr>
        <w:t>6.1 响应文件中如果出现计算上或累加上的算术错误，可按以下原则进行修改：</w:t>
      </w:r>
    </w:p>
    <w:p>
      <w:pPr>
        <w:widowControl/>
        <w:autoSpaceDE w:val="0"/>
        <w:autoSpaceDN w:val="0"/>
        <w:spacing w:line="400" w:lineRule="exact"/>
        <w:ind w:right="53"/>
        <w:textAlignment w:val="bottom"/>
        <w:rPr>
          <w:rFonts w:hAnsi="宋体" w:cs="宋体"/>
          <w:color w:val="auto"/>
          <w:sz w:val="24"/>
        </w:rPr>
      </w:pPr>
      <w:r>
        <w:rPr>
          <w:rFonts w:hint="eastAsia" w:hAnsi="宋体" w:cs="宋体"/>
          <w:color w:val="auto"/>
          <w:sz w:val="24"/>
        </w:rPr>
        <w:t>（1）用数字表示的百分比（金额）和用文字表示的百分比（金额）不一致，应以文字表示的百分比（金额）为准。</w:t>
      </w:r>
    </w:p>
    <w:p>
      <w:pPr>
        <w:widowControl/>
        <w:autoSpaceDE w:val="0"/>
        <w:autoSpaceDN w:val="0"/>
        <w:spacing w:line="400" w:lineRule="exact"/>
        <w:ind w:right="53"/>
        <w:textAlignment w:val="bottom"/>
        <w:rPr>
          <w:rFonts w:hAnsi="宋体" w:cs="宋体"/>
          <w:color w:val="auto"/>
          <w:sz w:val="24"/>
        </w:rPr>
      </w:pPr>
      <w:r>
        <w:rPr>
          <w:rFonts w:hint="eastAsia" w:hAnsi="宋体" w:cs="宋体"/>
          <w:color w:val="auto"/>
          <w:sz w:val="24"/>
        </w:rPr>
        <w:t>（2）单价和数量的乘积与总价不一致时，以单价为准，并修正总价。</w:t>
      </w:r>
    </w:p>
    <w:p>
      <w:pPr>
        <w:widowControl/>
        <w:autoSpaceDE w:val="0"/>
        <w:autoSpaceDN w:val="0"/>
        <w:spacing w:line="400" w:lineRule="exact"/>
        <w:ind w:right="53"/>
        <w:textAlignment w:val="bottom"/>
        <w:rPr>
          <w:rFonts w:hAnsi="宋体" w:cs="宋体"/>
          <w:color w:val="auto"/>
          <w:sz w:val="24"/>
          <w:szCs w:val="22"/>
        </w:rPr>
      </w:pPr>
      <w:r>
        <w:rPr>
          <w:rFonts w:hint="eastAsia" w:hAnsi="宋体" w:cs="宋体"/>
          <w:color w:val="auto"/>
          <w:sz w:val="24"/>
          <w:szCs w:val="22"/>
        </w:rPr>
        <w:t>（3）单价金额小数点有明显错误的，以总价为准，修正单价。</w:t>
      </w:r>
    </w:p>
    <w:p>
      <w:pPr>
        <w:widowControl/>
        <w:autoSpaceDE w:val="0"/>
        <w:autoSpaceDN w:val="0"/>
        <w:spacing w:line="400" w:lineRule="exact"/>
        <w:ind w:right="53"/>
        <w:textAlignment w:val="bottom"/>
        <w:rPr>
          <w:rFonts w:hAnsi="宋体" w:cs="宋体"/>
          <w:color w:val="auto"/>
          <w:sz w:val="24"/>
          <w:szCs w:val="22"/>
        </w:rPr>
      </w:pPr>
      <w:r>
        <w:rPr>
          <w:rFonts w:hint="eastAsia" w:hAnsi="宋体" w:cs="宋体"/>
          <w:color w:val="auto"/>
          <w:sz w:val="24"/>
          <w:szCs w:val="22"/>
        </w:rPr>
        <w:t>（4）以百分比进行报价，并保留1位小数，如供应商报价百分比出现2位小数，第2位小数四舍五入，直接修正。</w:t>
      </w:r>
    </w:p>
    <w:p>
      <w:pPr>
        <w:widowControl/>
        <w:autoSpaceDE w:val="0"/>
        <w:autoSpaceDN w:val="0"/>
        <w:spacing w:line="400" w:lineRule="exact"/>
        <w:ind w:right="53"/>
        <w:textAlignment w:val="bottom"/>
        <w:rPr>
          <w:rFonts w:hAnsi="宋体" w:cs="宋体"/>
          <w:color w:val="auto"/>
          <w:sz w:val="24"/>
        </w:rPr>
      </w:pPr>
      <w:r>
        <w:rPr>
          <w:rFonts w:hint="eastAsia" w:hAnsi="宋体" w:cs="宋体"/>
          <w:color w:val="auto"/>
          <w:sz w:val="24"/>
        </w:rPr>
        <w:t>6.2  按上述修正错误的方法调整的比选报价应对供应商具有约束力。如果供应商不接受修正后的价格，其比选将被拒绝。</w:t>
      </w:r>
    </w:p>
    <w:p>
      <w:pPr>
        <w:pStyle w:val="3"/>
        <w:spacing w:line="400" w:lineRule="exact"/>
        <w:rPr>
          <w:rFonts w:ascii="宋体" w:hAnsi="宋体" w:eastAsia="宋体" w:cs="宋体"/>
          <w:color w:val="auto"/>
          <w:sz w:val="24"/>
          <w:szCs w:val="24"/>
        </w:rPr>
      </w:pPr>
      <w:bookmarkStart w:id="173" w:name="_Toc208849022"/>
      <w:bookmarkStart w:id="174" w:name="_Toc183682432"/>
      <w:bookmarkStart w:id="175" w:name="_Toc217446105"/>
      <w:bookmarkStart w:id="176" w:name="_Toc183582297"/>
      <w:r>
        <w:rPr>
          <w:rFonts w:hint="eastAsia" w:ascii="宋体" w:hAnsi="宋体" w:eastAsia="宋体" w:cs="宋体"/>
          <w:color w:val="auto"/>
          <w:sz w:val="24"/>
          <w:szCs w:val="24"/>
        </w:rPr>
        <w:t xml:space="preserve">7. </w:t>
      </w:r>
      <w:bookmarkEnd w:id="173"/>
      <w:bookmarkEnd w:id="174"/>
      <w:bookmarkEnd w:id="175"/>
      <w:bookmarkEnd w:id="176"/>
      <w:r>
        <w:rPr>
          <w:rFonts w:hint="eastAsia" w:ascii="宋体" w:hAnsi="宋体" w:eastAsia="宋体" w:cs="宋体"/>
          <w:color w:val="auto"/>
          <w:sz w:val="24"/>
          <w:szCs w:val="24"/>
        </w:rPr>
        <w:t>评标专家在比选</w:t>
      </w:r>
      <w:r>
        <w:rPr>
          <w:rFonts w:hint="eastAsia" w:ascii="宋体" w:hAnsi="宋体" w:eastAsia="宋体" w:cs="宋体"/>
          <w:color w:val="auto"/>
          <w:sz w:val="24"/>
        </w:rPr>
        <w:t>采购活动</w:t>
      </w:r>
      <w:r>
        <w:rPr>
          <w:rFonts w:hint="eastAsia" w:ascii="宋体" w:hAnsi="宋体" w:eastAsia="宋体" w:cs="宋体"/>
          <w:color w:val="auto"/>
          <w:sz w:val="24"/>
          <w:szCs w:val="24"/>
        </w:rPr>
        <w:t>中承担以下义务：</w:t>
      </w:r>
    </w:p>
    <w:p>
      <w:pPr>
        <w:widowControl/>
        <w:autoSpaceDE w:val="0"/>
        <w:autoSpaceDN w:val="0"/>
        <w:spacing w:line="400" w:lineRule="exact"/>
        <w:ind w:right="53"/>
        <w:textAlignment w:val="bottom"/>
        <w:rPr>
          <w:rFonts w:hAnsi="宋体" w:cs="宋体"/>
          <w:color w:val="auto"/>
          <w:sz w:val="24"/>
        </w:rPr>
      </w:pPr>
      <w:r>
        <w:rPr>
          <w:rFonts w:hint="eastAsia" w:hAnsi="宋体" w:cs="宋体"/>
          <w:color w:val="auto"/>
          <w:sz w:val="24"/>
        </w:rPr>
        <w:t>7.1 遵纪守法，客观、公正、廉洁地履行职责。</w:t>
      </w:r>
    </w:p>
    <w:p>
      <w:pPr>
        <w:widowControl/>
        <w:autoSpaceDE w:val="0"/>
        <w:autoSpaceDN w:val="0"/>
        <w:spacing w:line="400" w:lineRule="exact"/>
        <w:ind w:right="53"/>
        <w:textAlignment w:val="bottom"/>
        <w:rPr>
          <w:rFonts w:hAnsi="宋体" w:cs="宋体"/>
          <w:color w:val="auto"/>
          <w:sz w:val="24"/>
        </w:rPr>
      </w:pPr>
      <w:r>
        <w:rPr>
          <w:rFonts w:hint="eastAsia" w:hAnsi="宋体" w:cs="宋体"/>
          <w:color w:val="auto"/>
          <w:sz w:val="24"/>
        </w:rPr>
        <w:t>7.2 按照比选文件的规定要求对供应商的资格条件和供应商提供的产品价格、技术、服务等方面严格进行评判，提供科学合理、公平公正的评审意见，参与起草评审报告，并予签字确认。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400" w:lineRule="exact"/>
        <w:ind w:right="53"/>
        <w:textAlignment w:val="bottom"/>
        <w:rPr>
          <w:rFonts w:hAnsi="宋体" w:cs="宋体"/>
          <w:color w:val="auto"/>
          <w:sz w:val="24"/>
        </w:rPr>
      </w:pPr>
      <w:r>
        <w:rPr>
          <w:rFonts w:hint="eastAsia" w:hAnsi="宋体" w:cs="宋体"/>
          <w:color w:val="auto"/>
          <w:sz w:val="24"/>
        </w:rPr>
        <w:t>7.3 保守秘密。不得透露比选文件咨询情况，不得泄漏供应商的响应文件及知悉的商业秘密，不得向供应商透露评审情况。</w:t>
      </w:r>
    </w:p>
    <w:p>
      <w:pPr>
        <w:pStyle w:val="3"/>
        <w:spacing w:line="400" w:lineRule="exact"/>
        <w:rPr>
          <w:rFonts w:ascii="宋体" w:hAnsi="宋体" w:eastAsia="宋体" w:cs="宋体"/>
          <w:color w:val="auto"/>
          <w:sz w:val="24"/>
          <w:szCs w:val="24"/>
        </w:rPr>
      </w:pPr>
      <w:r>
        <w:rPr>
          <w:rFonts w:hint="eastAsia" w:ascii="宋体" w:hAnsi="宋体" w:eastAsia="宋体" w:cs="宋体"/>
          <w:color w:val="auto"/>
          <w:sz w:val="24"/>
          <w:szCs w:val="24"/>
        </w:rPr>
        <w:t>8.重新比选或终止比选</w:t>
      </w:r>
    </w:p>
    <w:p>
      <w:pPr>
        <w:widowControl/>
        <w:autoSpaceDE w:val="0"/>
        <w:autoSpaceDN w:val="0"/>
        <w:ind w:right="53"/>
        <w:textAlignment w:val="bottom"/>
        <w:rPr>
          <w:rFonts w:hAnsi="宋体" w:cs="宋体"/>
          <w:color w:val="auto"/>
          <w:sz w:val="24"/>
        </w:rPr>
      </w:pPr>
      <w:r>
        <w:rPr>
          <w:rFonts w:hint="eastAsia" w:hAnsi="宋体" w:cs="宋体"/>
          <w:color w:val="auto"/>
          <w:sz w:val="24"/>
        </w:rPr>
        <w:t>本次比选活动中，出现下列情形之一的，予以重新比选或终止比选：</w:t>
      </w:r>
    </w:p>
    <w:p>
      <w:pPr>
        <w:widowControl/>
        <w:autoSpaceDE w:val="0"/>
        <w:autoSpaceDN w:val="0"/>
        <w:ind w:right="53"/>
        <w:textAlignment w:val="bottom"/>
        <w:rPr>
          <w:rFonts w:hAnsi="宋体" w:cs="宋体"/>
          <w:color w:val="auto"/>
          <w:sz w:val="24"/>
        </w:rPr>
      </w:pPr>
      <w:r>
        <w:rPr>
          <w:rFonts w:hint="eastAsia" w:hAnsi="宋体" w:cs="宋体"/>
          <w:color w:val="auto"/>
          <w:sz w:val="24"/>
        </w:rPr>
        <w:t>（1）所有参与比选的供应商都不符合比选文件要求，并被全部否决的；</w:t>
      </w:r>
    </w:p>
    <w:p>
      <w:pPr>
        <w:widowControl/>
        <w:autoSpaceDE w:val="0"/>
        <w:autoSpaceDN w:val="0"/>
        <w:ind w:right="53"/>
        <w:textAlignment w:val="bottom"/>
        <w:rPr>
          <w:rFonts w:hAnsi="宋体" w:cs="宋体"/>
          <w:color w:val="auto"/>
          <w:sz w:val="24"/>
        </w:rPr>
      </w:pPr>
      <w:r>
        <w:rPr>
          <w:rFonts w:hint="eastAsia" w:hAnsi="宋体" w:cs="宋体"/>
          <w:color w:val="auto"/>
          <w:sz w:val="24"/>
        </w:rPr>
        <w:t>（2）出现影响比选采购公正的违法、违规行为的；</w:t>
      </w:r>
    </w:p>
    <w:p>
      <w:pPr>
        <w:widowControl/>
        <w:autoSpaceDE w:val="0"/>
        <w:autoSpaceDN w:val="0"/>
        <w:ind w:right="53"/>
        <w:textAlignment w:val="bottom"/>
        <w:rPr>
          <w:rFonts w:hAnsi="宋体" w:cs="宋体"/>
          <w:color w:val="auto"/>
          <w:sz w:val="24"/>
        </w:rPr>
      </w:pPr>
      <w:r>
        <w:rPr>
          <w:rFonts w:hint="eastAsia" w:hAnsi="宋体" w:cs="宋体"/>
          <w:color w:val="auto"/>
          <w:sz w:val="24"/>
        </w:rPr>
        <w:t>（3）因重大变故，比选采购任务取消的；</w:t>
      </w:r>
    </w:p>
    <w:p>
      <w:pPr>
        <w:adjustRightInd w:val="0"/>
        <w:snapToGrid w:val="0"/>
        <w:jc w:val="left"/>
        <w:rPr>
          <w:rFonts w:hAnsi="宋体" w:cs="宋体"/>
          <w:color w:val="auto"/>
          <w:sz w:val="24"/>
          <w:szCs w:val="24"/>
        </w:rPr>
      </w:pPr>
      <w:r>
        <w:rPr>
          <w:rFonts w:hint="eastAsia" w:hAnsi="宋体" w:cs="宋体"/>
          <w:color w:val="auto"/>
          <w:sz w:val="24"/>
        </w:rPr>
        <w:t>重新比选或终止比选的，比选采购单位应</w:t>
      </w:r>
      <w:r>
        <w:rPr>
          <w:rFonts w:hint="eastAsia" w:hAnsi="宋体" w:cs="宋体"/>
          <w:color w:val="auto"/>
          <w:sz w:val="24"/>
          <w:lang w:eastAsia="zh-CN"/>
        </w:rPr>
        <w:t>古蔺县中医医院</w:t>
      </w:r>
      <w:r>
        <w:rPr>
          <w:rFonts w:hint="eastAsia" w:hAnsi="宋体" w:cs="宋体"/>
          <w:color w:val="auto"/>
          <w:sz w:val="24"/>
        </w:rPr>
        <w:t>官网（http://www.glxzyyy.cn/）公告，并公告详细理由。</w:t>
      </w:r>
    </w:p>
    <w:p>
      <w:pPr>
        <w:pStyle w:val="17"/>
        <w:rPr>
          <w:rFonts w:hAnsi="宋体" w:cs="宋体"/>
          <w:color w:val="auto"/>
          <w:sz w:val="24"/>
          <w:szCs w:val="24"/>
        </w:rPr>
      </w:pPr>
    </w:p>
    <w:p>
      <w:pPr>
        <w:pStyle w:val="55"/>
        <w:rPr>
          <w:rFonts w:hAnsi="宋体" w:cs="宋体"/>
          <w:color w:val="auto"/>
          <w:sz w:val="24"/>
          <w:szCs w:val="24"/>
        </w:rPr>
      </w:pPr>
    </w:p>
    <w:p>
      <w:pPr>
        <w:rPr>
          <w:rFonts w:hAnsi="宋体" w:cs="宋体"/>
          <w:color w:val="auto"/>
          <w:sz w:val="24"/>
          <w:szCs w:val="24"/>
        </w:rPr>
      </w:pPr>
    </w:p>
    <w:p>
      <w:pPr>
        <w:pStyle w:val="17"/>
        <w:rPr>
          <w:rFonts w:hAnsi="宋体" w:cs="宋体"/>
          <w:color w:val="auto"/>
          <w:sz w:val="24"/>
          <w:szCs w:val="24"/>
        </w:rPr>
      </w:pPr>
    </w:p>
    <w:p>
      <w:pPr>
        <w:pStyle w:val="55"/>
        <w:rPr>
          <w:rFonts w:hAnsi="宋体" w:cs="宋体"/>
          <w:color w:val="auto"/>
          <w:sz w:val="24"/>
          <w:szCs w:val="24"/>
        </w:rPr>
      </w:pPr>
    </w:p>
    <w:p>
      <w:pPr>
        <w:rPr>
          <w:rFonts w:hAnsi="宋体" w:cs="宋体"/>
          <w:color w:val="auto"/>
          <w:sz w:val="24"/>
          <w:szCs w:val="24"/>
        </w:rPr>
      </w:pPr>
    </w:p>
    <w:p>
      <w:pPr>
        <w:pStyle w:val="17"/>
        <w:rPr>
          <w:rFonts w:hAnsi="宋体" w:cs="宋体"/>
          <w:color w:val="auto"/>
          <w:sz w:val="24"/>
          <w:szCs w:val="24"/>
        </w:rPr>
      </w:pPr>
    </w:p>
    <w:p>
      <w:pPr>
        <w:pStyle w:val="55"/>
        <w:rPr>
          <w:rFonts w:hAnsi="宋体" w:cs="宋体"/>
          <w:color w:val="auto"/>
          <w:sz w:val="24"/>
          <w:szCs w:val="24"/>
        </w:rPr>
      </w:pPr>
    </w:p>
    <w:p>
      <w:pPr>
        <w:rPr>
          <w:b/>
          <w:bCs/>
          <w:color w:val="auto"/>
          <w:sz w:val="24"/>
          <w:szCs w:val="24"/>
        </w:rPr>
      </w:pPr>
    </w:p>
    <w:sectPr>
      <w:pgSz w:w="11906" w:h="16838"/>
      <w:pgMar w:top="1400" w:right="850" w:bottom="1088" w:left="1134" w:header="0" w:footer="595" w:gutter="0"/>
      <w:cols w:space="720" w:num="1"/>
      <w:titlePg/>
      <w:docGrid w:type="lines" w:linePitch="4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à.ā">
    <w:altName w:val="黑体"/>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7785" cy="131445"/>
              <wp:effectExtent l="0" t="0" r="9525" b="0"/>
              <wp:wrapNone/>
              <wp:docPr id="15" name="文本框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4" o:spid="_x0000_s1026" o:spt="202" type="#_x0000_t202" style="position:absolute;left:0pt;margin-left:0pt;margin-top:0pt;height:10.35pt;width:4.55p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WFJivbAQAArQMAAA4AAABkcnMvZTJvRG9jLnhtbK1TS27bMBDdF+gd&#10;CO5rWY7VJILlIIGRoEDRFkh7AJqiLAL8gUNb8gXaG3TVTfc9l8/RISU5QbrJohtqODN8M+/NaHXT&#10;a0UOwoO0pqL5bE6JMNzW0uwq+u3r/bsrSiAwUzNljajoUQC9Wb99s+pcKRa2taoWniCIgbJzFW1D&#10;cGWWAW+FZjCzThgMNtZrFvDqd1ntWYfoWmWL+fx91llfO2+5AEDvZgjSEdG/BtA2jeRiY/leCxMG&#10;VC8UC0gJWumArlO3TSN4+Nw0IAJRFUWmIZ1YBO1tPLP1ipU7z1wr+dgCe00LLzhpJg0WPUNtWGBk&#10;7+U/UFpyb8E2YcatzgYiSRFkkc9faPPYMicSF5Qa3Fl0+H+w/NPhiyeyxk0oKDFM48RPP3+cfv05&#10;/f6+jPJ0DkrMenSYF/o722Pq5Ad0RtZ943X8Ih+CcRT3eBZX9IFwdBaXl1dYgmMkv8iXyyKCZE9v&#10;nYfwIKwm0aiox9ElRdnhI4QhdUqJpYy9l0ql8SlDuopeF4siPThHEFyZmCvSIowwkc/Qd7RCv+1H&#10;kltbH5Fjh8tQUYO7T4n6YFDruDeT4SdjOxl75+WuxY7zVB3c7T5gb6nlWGGARarxglNMpMeNi2vy&#10;/J6ynv6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i91E0AAAAAIBAAAPAAAAAAAAAAEAIAAA&#10;ACIAAABkcnMvZG93bnJldi54bWxQSwECFAAUAAAACACHTuJAFYUmK9sBAACtAwAADgAAAAAAAAAB&#10;ACAAAAAfAQAAZHJzL2Uyb0RvYy54bWxQSwUGAAAAAAYABgBZAQAAb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2"/>
      <w:rPr>
        <w:rStyle w:val="41"/>
      </w:rPr>
    </w:pPr>
    <w:r>
      <w:fldChar w:fldCharType="begin"/>
    </w:r>
    <w:r>
      <w:rPr>
        <w:rStyle w:val="41"/>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4"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5"/>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SdCZTWAQAAqQMAAA4AAABkcnMvZTJvRG9jLnhtbK1TS27bMBDdF8gd&#10;CO5jSbFTOILloIWRokDRFkhzAJqiLAL8gUNb8gXaG3TVTfc9l8/RISU5n26y6IYazgzfzHszWt32&#10;WpGD8CCtqWgxyykRhttaml1FH77dXS4pgcBMzZQ1oqJHAfR2ffFm1blSXNnWqlp4giAGys5VtA3B&#10;lVkGvBWawcw6YTDYWK9ZwKvfZbVnHaJrlV3l+duss7523nIBgN7NEKQjon8NoG0aycXG8r0WJgyo&#10;XigWkBK00gFdp26bRvDwpWlABKIqikxDOrEI2tt4ZusVK3eeuVbysQX2mhZecNJMGix6htqwwMje&#10;y3+gtOTegm3CjFudDUSSIsiiyF9oc98yJxIXlBrcWXT4f7D88+GrJ7LGTVhQYpjGiZ9+/jj9+nP6&#10;/Z3M8+UyStQ5KDHz3mFu6N/bHtMnP6AzMu8br+MXORGMo8DHs8CiD4THR8XiZn5NCcdQMS8Wi+uI&#10;kj0+dh7CB2E1iUZFPc4vycoOnyAMqVNKrGXsnVQqzVCZZw7EHDwiLcH4OvIY+o1W6Lf9SG5r6yNy&#10;63ARKmpw7ylRHw3qHHdmMvxkbCdj77zctdhokboE924fsKXUaawwwCLDeMEJJq7jtsUVeXpPWY9/&#10;2P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ASdCZTWAQAAqQMAAA4AAAAAAAAAAQAgAAAA&#10;HwEAAGRycy9lMm9Eb2MueG1sUEsFBgAAAAAGAAYAWQEAAGc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13"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6432;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K2mF5XdAQAAsAMAAA4AAABkcnMvZTJvRG9jLnhtbK1TS27bMBDdF8gd&#10;CO5ryXJcJILloIWRokDRFkhyAJqiLAL8gUNb8gXaG3TVTfc9l8+RISU5QbLJohtqhjN8M+/NaHXT&#10;a0UOwoO0pqLzWU6JMNzW0uwq+nB/+/6KEgjM1ExZIyp6FEBv1hfvVp0rRWFbq2rhCYIYKDtX0TYE&#10;V2YZ8FZoBjPrhMFgY71mAV2/y2rPOkTXKivy/EPWWV87b7kAwNvNEKQjon8LoG0aycXG8r0WJgyo&#10;XigWkBK00gFdp26bRvDwvWlABKIqikxDOrEI2tt4ZusVK3eeuVbysQX2lhZecNJMGix6htqwwMje&#10;y1dQWnJvwTZhxq3OBiJJEWQxz19oc9cyJxIXlBrcWXT4f7D82+GHJ7LGTVhQYpjGiZ9+/zr9+Xf6&#10;+5MsiihQ56DEvDuHmaH/ZHtMnu4BLyPvvvE6fpERwTjKezzLK/pAeHw0v7xeLCnhGCqu8hxtRM+e&#10;HjsP4bOwmkSjoh6nl0Rlh68QhtQpJdYy9lYqlSaoDOkqer0slunBOYLgysRckXZhhImEhsajFfpt&#10;P7Lc2vqIJDvch4oaXH9K1BeDcsfVmQw/GdvJ2Dsvdy12PE/VwX3cB+wttRwrDLBINTo4yER6XLq4&#10;Kc/9lPX0o60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8AcmzQAAAAAwEAAA8AAAAAAAAAAQAg&#10;AAAAIgAAAGRycy9kb3ducmV2LnhtbFBLAQIUABQAAAAIAIdO4kCtpheV3QEAALADAAAOAAAAAAAA&#10;AAEAIAAAAB8BAABkcnMvZTJvRG9jLnhtbFBLBQYAAAAABgAGAFkBAABu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7"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5"/>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mnnLXAQAAqAMAAA4AAABkcnMvZTJvRG9jLnhtbK1TS27bMBDdF8gd&#10;CO5rSbHTJoLloIGRokDRBkhyAJqiLAL8gUNb8gXaG3TVTfc9l8+RISU5bbrJohtqODN8M+/NaHnd&#10;a0X2woO0pqLFLKdEGG5rabYVfXy4fXtJCQRmaqasERU9CKDXq7M3y86V4ty2VtXCEwQxUHauom0I&#10;rswy4K3QDGbWCYPBxnrNAl79Nqs96xBdq+w8z99lnfW185YLAPSuhyAdEf1rAG3TSC7Wlu+0MGFA&#10;9UKxgJSglQ7oKnXbNIKHr00DIhBVUWQa0olF0N7EM1stWbn1zLWSjy2w17TwgpNm0mDRE9SaBUZ2&#10;Xv4DpSX3FmwTZtzqbCCSFEEWRf5Cm/uWOZG4oNTgTqLD/4PlX/Z3nsi6ou8pMUzjwI8/vh9//j7+&#10;+kbm+eU8KtQ5KDHx3mFq6G9sj3sz+QGdkXjfeB2/SIlgHPU9nPQVfSA8PioWV/MLSjiGinmxWFxE&#10;lOz5sfMQPgqrSTQq6nF8SVW2/wxhSJ1SYi1jb6VSaYTK/OVAzMEj0g6MryOPod9ohX7Tj+Q2tj4g&#10;tw73oKIG154S9cmgzHFlJsNPxmYyds7LbYuNFqlLcB92AVtKncYKAywyjBccYOI6LlvckD/vKev5&#10;B1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lfknQAAAAAwEAAA8AAAAAAAAAAQAgAAAAIgAA&#10;AGRycy9kb3ducmV2LnhtbFBLAQIUABQAAAAIAIdO4kCupp5y1wEAAKgDAAAOAAAAAAAAAAEAIAAA&#10;AB8BAABkcnMvZTJvRG9jLnhtbFBLBQYAAAAABgAGAFkBAABo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6"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tEeCa3wEAALIDAAAOAAAAZHJzL2Uyb0RvYy54bWytU0tu2zAQ&#10;3RfoHQjua0mJ7aaC5aCFkaJA0QZIegCaoiwC/IFDW/IF2ht01U33PZfPkSElOUGyyaIbcsgZvpn3&#10;Zri67rUiB+FBWlPRYpZTIgy3tTS7iv64v3l3RQkEZmqmrBEVPQqg1+u3b1adK8WFba2qhScIYqDs&#10;XEXbEFyZZcBboRnMrBMGnY31mgU8+l1We9YhulbZRZ4vs8762nnLBQDebgYnHRH9awBt00guNpbv&#10;tTBhQPVCsYCUoJUO6DpV2zSCh+9NAyIQVVFkGtKKSdDexjVbr1i588y1ko8lsNeU8IyTZtJg0jPU&#10;hgVG9l6+gNKSewu2CTNudTYQSYogiyJ/ps1dy5xIXFBqcGfR4f/B8m+HW09kXdElJYZpbPjp96/T&#10;n3+nvz9JkS+LqFDnoMTAO4ehof9ke5yb6R7wMhLvG6/jjpQI+lHf41lf0QfC46Ni/uFyQQlHV3FZ&#10;zOeLiJI9PnYewmdhNYlGRT22L6nKDl8hDKFTSMxl7I1UKrVQGdIh6OLq/SK9OLsQXZkYLNI0jDiR&#10;0VB5tEK/7UeaW1sfkWWHE1FRgx+AEvXFoOBxeCbDT8Z2MvbOy12LJRcpO7iP+4DFpZpjhgEWucYD&#10;tjKxHscuzsrTc4p6/Gr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tEeCa3wEAALIDAAAO&#10;AAAAAAAAAAEAIAAAACMBAABkcnMvZTJvRG9jLnhtbFBLBQYAAAAABgAGAFkBAAB0BQAAAAA=&#10;">
              <v:fill on="f" focussize="0,0"/>
              <v:stroke on="f" weight="1.25pt"/>
              <v:imagedata o:title=""/>
              <o:lock v:ext="edit" aspectratio="f"/>
              <v:textbox inset="0mm,0mm,0mm,0mm" style="mso-fit-shape-to-text:t;">
                <w:txbxContent>
                  <w:p>
                    <w:pPr>
                      <w:pStyle w:val="25"/>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4"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8liE23wEAALI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VdUmKYxoaffv44&#10;/fpz+v2dFHl5FRXqHVQYeO8wNAzv7YBzM98DXkbiQ+t13JESQT/qezzrK4ZAeHxULG8uS0o4uorL&#10;YrksI0r29Nh5CB+E1SQaNfXYvqQqO3yCMIbOITGXsXdSqdRCZUiPoOX1VZlenF2IrkwMFmkaJpzI&#10;aKw8WmHYDhPNrW2OyLLHiaipwQ9AifpoUPA4PLPhZ2M7G3vn5a7DkouUHdy7fcDiUs0xwwiLXOMB&#10;W5lYT2MXZ+Xvc4p6+mr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D8liE23wEAALIDAAAO&#10;AAAAAAAAAAEAIAAAACMBAABkcnMvZTJvRG9jLnhtbFBLBQYAAAAABgAGAFkBAAB0BQAAAAA=&#10;">
              <v:fill on="f" focussize="0,0"/>
              <v:stroke on="f" weight="1.25pt"/>
              <v:imagedata o:title=""/>
              <o:lock v:ext="edit" aspectratio="f"/>
              <v:textbox inset="0mm,0mm,0mm,0mm" style="mso-fit-shape-to-text:t;">
                <w:txbxContent>
                  <w:p>
                    <w:pPr>
                      <w:pStyle w:val="25"/>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3"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63360;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CmQvvP3gEAALIDAAAOAAAAZHJzL2Uyb0RvYy54bWytU82O&#10;0zAQviPxDpbvNMm2gRI1XYGqRUgIkBYewHWcxpL/5HGb9AXgDThx4c5z9TkYO0kXLZc9cLHHnvE3&#10;830z3twOWpGT8CCtqWmxyCkRhttGmkNNv365e7GmBAIzDVPWiJqeBdDb7fNnm95V4sZ2VjXCEwQx&#10;UPWupl0Irsoy4J3QDBbWCYPO1nrNAh79IWs86xFdq+wmz19mvfWN85YLALzdjU46IfqnANq2lVzs&#10;LD9qYcKI6oViASlBJx3Qbaq2bQUPn9oWRCCqpsg0pBWToL2Pa7bdsOrgmeskn0pgTynhESfNpMGk&#10;V6gdC4wcvfwHSkvuLdg2LLjV2UgkKYIsivyRNvcdcyJxQanBXUWH/wfLP54+eyKbmi4pMUxjwy8/&#10;vl9+/r78+kaKvFxHhXoHFQbeOwwNw1s74NzM94CXkfjQeh13pETQj/qer/qKIRAeHxWr18uSEo6u&#10;YlmsVmVEyR4eOw/hnbCaRKOmHtuXVGWnDxDG0Dkk5jL2TiqVWqgM6RG0XL8q04urC9GVicEiTcOE&#10;ExmNlUcrDPthorm3zRlZ9jgRNTX4AShR7w0KHodnNvxs7Gfj6Lw8dFhykbKDe3MMWFyqOWYYYZFr&#10;PGArE+tp7OKs/H1OUQ9fbf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KZC+8/eAQAAsgMA&#10;AA4AAAAAAAAAAQAgAAAAJgEAAGRycy9lMm9Eb2MueG1sUEsFBgAAAAAGAAYAWQEAAHYFAAAAAA==&#10;">
              <v:fill on="f" focussize="0,0"/>
              <v:stroke on="f" weight="1.25pt"/>
              <v:imagedata o:title=""/>
              <o:lock v:ext="edit" aspectratio="f"/>
              <v:textbox inset="0mm,0mm,0mm,0mm" style="mso-fit-shape-to-text:t;">
                <w:txbxContent>
                  <w:p>
                    <w:pPr>
                      <w:pStyle w:val="25"/>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URo2A3wEAALIDAAAOAAAAZHJzL2Uyb0RvYy54bWytU0tu2zAQ&#10;3RfoHQjua0mJ1SaC5aCFkaJA0QZIcgCaoiwC/IFDW/IF2ht01U33PZfPkSElO0GyySIbcjgzfDPv&#10;cbi4GrQiO+FBWlPTYpZTIgy3jTSbmt7fXX+4oAQCMw1T1oia7gXQq+X7d4veVeLMdlY1whMEMVD1&#10;rqZdCK7KMuCd0Axm1gmDwdZ6zQIe/SZrPOsRXavsLM8/Zr31jfOWCwD0rsYgnRD9awBt20ouVpZv&#10;tTBhRPVCsYCUoJMO6DJ127aCh59tCyIQVVNkGtKKRdBexzVbLli18cx1kk8tsNe08IyTZtJg0RPU&#10;igVGtl6+gNKSewu2DTNudTYSSYogiyJ/ps1tx5xIXFBqcCfR4e1g+Y/djSeywUmgxDCND3748/vw&#10;9//h3y9S5OVlVKh3UGHircPUMHyxQ8ye/IDOSHxovY47UiIYR333J33FEAiPl4r55XlJCcdQcV7M&#10;52VEyR4vOw/hq7CaRKOmHp8vqcp23yGMqceUWMvYa6kU+lmlDOkRtLz4VKYbpxCiKxMzRJqGCScy&#10;GjuPVhjWw0RnbZs9suxxImpq8ANQor4ZFDwOz9HwR2N9NLbOy02HLRepOrjP24DNpZ5jhREWucYD&#10;PmViPY1dnJWn55T1+NW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URo2A3wEAALIDAAAO&#10;AAAAAAAAAAEAIAAAACMBAABkcnMvZTJvRG9jLnhtbFBLBQYAAAAABgAGAFkBAAB0BQAAAAA=&#10;">
              <v:fill on="f" focussize="0,0"/>
              <v:stroke on="f" weight="1.25pt"/>
              <v:imagedata o:title=""/>
              <o:lock v:ext="edit" aspectratio="f"/>
              <v:textbox inset="0mm,0mm,0mm,0mm" style="mso-fit-shape-to-text:t;">
                <w:txbxContent>
                  <w:p>
                    <w:pPr>
                      <w:pStyle w:val="2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5"/>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hXvSDWAQAAqAMAAA4AAABkcnMvZTJvRG9jLnhtbK1TzY7TMBC+I+07&#10;WL5vk7RdVKKmK1C1q5UQIC08gOs4jSX/yeM26QvAG3Diwp3n6nMwdpIuLJc9cHHGM+Nv5vtmsr7t&#10;tSJH4UFaU9FillMiDLe1NPuKfvl8d72iBAIzNVPWiIqeBNDbzdWrdedKMbetVbXwBEEMlJ2raBuC&#10;K7MMeCs0g5l1wmCwsV6zgFe/z2rPOkTXKpvn+euss7523nIBgN7tEKQjon8JoG0aycXW8oMWJgyo&#10;XigWkBK00gHdpG6bRvDwsWlABKIqikxDOrEI2rt4Zps1K/eeuVbysQX2khaecdJMGix6gdqywMjB&#10;y3+gtOTegm3CjFudDUSSIsiiyJ9p89gyJxIXlBrcRXT4f7D8w/GTJ7Ku6JwSwzQO/Pz92/nHr/PP&#10;r2SRr1ZRoc5BiYmPDlND/872uDeTH9AZifeN1/GLlAjGUd/TRV/RB8Ljo2L5ZnFDCcdQsSiWy5uI&#10;kj09dh7CvbCaRKOiHseXVGXH9xCG1Ckl1jL2TiqVRqjMXw7EHDwi7cD4OvIY+o1W6Hf9SG5n6xNy&#10;63APKmpw7SlRDwZljiszGX4ydpNxcF7uW2y0SF2Ce3sI2FLqNFYYYJFhvOAAE9dx2eKG/HlPWU8/&#10;2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BhXvSDWAQAAqAMAAA4AAAAAAAAAAQAgAAAA&#10;HwEAAGRycy9lMm9Eb2MueG1sUEsFBgAAAAAGAAYAWQEAAGc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8"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9504;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AtzGwHcAQAArwMAAA4AAABkcnMvZTJvRG9jLnhtbK1TzY7TMBC+I/EO&#10;lu80aZai3ajuClQtQkKAtPAAruM0lvwnj9ukLwBvwIkLd56rz7FjJ+mi5bIHLs6MZ/zNfN9M1reD&#10;0eQoAyhnGV0uSkqkFa5Rds/ot693r64pgchtw7WzktGTBHq7efli3ftaVq5zupGBIIiFuveMdjH6&#10;uihAdNJwWDgvLQZbFwyP6IZ90QTeI7rRRVWWb4rehcYHJyQA3m7HIJ0Qw3MAXdsqIbdOHIy0cUQN&#10;UvOIlKBTHugmd9u2UsTPbQsyEs0oMo35xCJo79JZbNa83gfuOyWmFvhzWnjCyXBlsegFassjJ4eg&#10;/oEySgQHro0L4UwxEsmKIItl+USb+457mbmg1OAvosP/gxWfjl8CUQ2jOHbLDQ78/PPH+def8+/v&#10;5KpK+vQeaky795gYh3duwK2Z7wEvE+2hDSZ9kRDBOKp7uqgrh0hEerR8fXO1okRgqLouS7QRvXh8&#10;7APE99IZkgxGAw4va8qPHyGOqXNKqmXdndI6D1Bb0jN6s6pW+cElguDaplyZV2GCSYTGxpMVh90w&#10;sdy55oQke1wHRi1uPyX6g0W10+bMRpiN3WwcfFD7Djte5urg3x4i9pZbThVGWKSaHJxjJj3tXFqU&#10;v/2c9fif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wBybNAAAAADAQAADwAAAAAAAAABACAA&#10;AAAiAAAAZHJzL2Rvd25yZXYueG1sUEsBAhQAFAAAAAgAh07iQAtzGwHcAQAArwMAAA4AAAAAAAAA&#10;AQAgAAAAHwEAAGRycy9lMm9Eb2MueG1sUEsFBgAAAAAGAAYAWQEAAG0FA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5"/>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44xTVAQAAqAMAAA4AAABkcnMvZTJvRG9jLnhtbK1TzY7TMBC+I/EO&#10;lu80ybaLlqjpClQtQkKAtPAArmM3lvwnj9ukLwBvwIkLd56rz8HYSbqwXPbAxRnPjL+Z75vJ+nYw&#10;mhxFAOVsQ6tFSYmw3LXK7hv65fPdixtKIDLbMu2saOhJAL3dPH+27n0trlzndCsCQRALde8b2sXo&#10;66IA3gnDYOG8sBiULhgW8Rr2RRtYj+hGF1dl+bLoXWh9cFwAoHc7BumEGJ4C6KRUXGwdPxhh44ga&#10;hGYRKUGnPNBN7lZKweNHKUFEohuKTGM+sQjau3QWmzWr94H5TvGpBfaUFh5xMkxZLHqB2rLIyCGo&#10;f6CM4sGBk3HBnSlGIlkRZFGVj7S575gXmQtKDf4iOvw/WP7h+CkQ1Tb0mhLLDA78/P3b+cev88+v&#10;ZFneLJNCvYcaE+89psbhjRtwb2Y/oDMRH2Qw6YuUCMZR39NFXzFEwtOjavVqiXU4hqpltVpdJ5Ti&#10;4bEPEN8KZ0gyGhpwfFlVdnwPcUydU1It6+6U1nmE2v7lQMzRI/IOTK8Tj7HfZMVhN0zkdq49Ibce&#10;96ChFteeEv3OosxpZWYjzMZuNg4+qH2HjVa5S/CvDxFbyp2mCiMsMkwXHGDmOi1b2pA/7znr4Qf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GvjjFNUBAACoAwAADgAAAAAAAAABACAAAAAf&#10;AQAAZHJzL2Uyb0RvYy54bWxQSwUGAAAAAAYABgBZAQAAZg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0"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zSh0M3wEAALMDAAAOAAAAZHJzL2Uyb0RvYy54bWytU0tu2zAQ&#10;3RfoHQjua0mJnSaC5aCBkaBA0RZIcwCaoiwC/IFDW/IF2ht01U33PZfPkSElOUGyyaIbcsgZvpn3&#10;Zri87rUie+FBWlPRYpZTIgy3tTTbij78uP1wSQkEZmqmrBEVPQig16v375adK8WZba2qhScIYqDs&#10;XEXbEFyZZcBboRnMrBMGnY31mgU8+m1We9YhulbZWZ5fZJ31tfOWCwC8XQ9OOiL6twDappFcrC3f&#10;aWHCgOqFYgEpQSsd0FWqtmkED9+aBkQgqqLINKQVk6C9iWu2WrJy65lrJR9LYG8p4QUnzaTBpCeo&#10;NQuM7Lx8BaUl9xZsE2bc6mwgkhRBFkX+Qpv7ljmRuKDU4E6iw/+D5V/33z2RNU4CSmKYxo4ff/86&#10;/vl3/PuTFPlFESXqHJQYee8wNvQ3tsfw6R7wMjLvG6/jjpwI+hHtcBJY9IHw+KiYX50vKOHoKs6L&#10;+XwRUbKnx85DuBNWk2hU1GP/kqxs/wXCEDqFxFzG3kqlUg+VIR2CLi4/LtKLkwvRlYnBIo3DiBMZ&#10;DZVHK/SbfqS5sfUBWXY4EhU1+AMoUZ8NKh6nZzL8ZGwmY+e83LZYcpGyg/u0C1hcqjlmGGCRazxg&#10;LxPrce7isDw/p6inv7Z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zSh0M3wEAALMDAAAO&#10;AAAAAAAAAAEAIAAAACMBAABkcnMvZTJvRG9jLnhtbFBLBQYAAAAABgAGAFkBAAB0BQAAAAA=&#10;">
              <v:fill on="f" focussize="0,0"/>
              <v:stroke on="f" weight="1.25pt"/>
              <v:imagedata o:title=""/>
              <o:lock v:ext="edit" aspectratio="f"/>
              <v:textbox inset="0mm,0mm,0mm,0mm" style="mso-fit-shape-to-text:t;">
                <w:txbxContent>
                  <w:p>
                    <w:pPr>
                      <w:pStyle w:val="25"/>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1"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nJIXe3wEAALM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gJBSWGaez46eeP&#10;068/p9/fSZGXV1Gi3kGFkfcOY8Pw3g4YPt8DXkbmQ+t13JETQT8KfDwLLIZAeHxULG8uS0o4uorL&#10;YrksI0r29Nh5CB+E1SQaNfXYvyQrO3yCMIbOITGXsXdSqdRDZUiPoOX1VZlenF2IrkwMFmkcJpzI&#10;aKw8WmHYDhPNrW2OyLLHkaipwR9AifpoUPE4PbPhZ2M7G3vn5a7DkouUHdy7fcDiUs0xwwiLXOMB&#10;e5lYT3MXh+Xvc4p6+mv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CnJIXe3wEAALMDAAAO&#10;AAAAAAAAAAEAIAAAACMBAABkcnMvZTJvRG9jLnhtbFBLBQYAAAAABgAGAFkBAAB0BQAAAAA=&#10;">
              <v:fill on="f" focussize="0,0"/>
              <v:stroke on="f" weight="1.25pt"/>
              <v:imagedata o:title=""/>
              <o:lock v:ext="edit" aspectratio="f"/>
              <v:textbox inset="0mm,0mm,0mm,0mm" style="mso-fit-shape-to-text:t;">
                <w:txbxContent>
                  <w:p>
                    <w:pPr>
                      <w:pStyle w:val="25"/>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12"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71552;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DOblI53gEAALMDAAAOAAAAZHJzL2Uyb0RvYy54bWytU82O&#10;0zAQviPxDpbvNEm3gRI1XYGqRUgIkBYewHWcxpL/5HGb9AXgDThx4c5z9TkYO0kXLZc9cLHHnvE3&#10;830z3twOWpGT8CCtqWmxyCkRhttGmkNNv365e7GmBAIzDVPWiJqeBdDb7fNnm95VYmk7qxrhCYIY&#10;qHpX0y4EV2UZ8E5oBgvrhEFna71mAY/+kDWe9YiuVbbM85dZb33jvOUCAG93o5NOiP4pgLZtJRc7&#10;y49amDCieqFYQErQSQd0m6ptW8HDp7YFEYiqKTINacUkaO/jmm03rDp45jrJpxLYU0p4xEkzaTDp&#10;FWrHAiNHL/+B0pJ7C7YNC251NhJJiiCLIn+kzX3HnEhcUGpwV9Hh/8Hyj6fPnsgGJ2FJiWEaO375&#10;8f3y8/fl1zdS5OU6StQ7qDDy3mFsGN7aAcPne8DLyHxovY47ciLoR4HPV4HFEAiPj4rV65uSEo6u&#10;4qZYrcqIkj08dh7CO2E1iUZNPfYvycpOHyCMoXNIzGXsnVQq9VAZ0iNouX5VphdXF6IrE4NFGocJ&#10;JzIaK49WGPbDRHNvmzOy7HEkamrwB1Ci3htUPE7PbPjZ2M/G0Xl56LDkImUH9+YYsLhUc8wwwiLX&#10;eMBeJtbT3MVh+fucoh7+2v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M5uUjneAQAAswMA&#10;AA4AAAAAAAAAAQAgAAAAJgEAAGRycy9lMm9Eb2MueG1sUEsFBgAAAAAGAAYAWQEAAHYFAAAAAA==&#10;">
              <v:fill on="f" focussize="0,0"/>
              <v:stroke on="f" weight="1.25pt"/>
              <v:imagedata o:title=""/>
              <o:lock v:ext="edit" aspectratio="f"/>
              <v:textbox inset="0mm,0mm,0mm,0mm" style="mso-fit-shape-to-text:t;">
                <w:txbxContent>
                  <w:p>
                    <w:pPr>
                      <w:pStyle w:val="25"/>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9"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yepa83wEAALIDAAAOAAAAZHJzL2Uyb0RvYy54bWytU82O0zAQ&#10;viPxDpbvNMluA9uo6QpULUJCgLTwAK7jNJb8J4/bpC8Ab8CJC3eeq8+xYyfpouWyBy722DP+Zr5v&#10;xuvbQStyFB6kNTUtFjklwnDbSLOv6bevd69uKIHATMOUNaKmJwH0dvPyxbp3lbiynVWN8ARBDFS9&#10;q2kXgquyDHgnNIOFdcKgs7Ves4BHv88az3pE1yq7yvPXWW9947zlAgBvt6OTToj+OYC2bSUXW8sP&#10;WpgwonqhWEBK0EkHdJOqbVvBw+e2BRGIqikyDWnFJGjv4ppt1qzae+Y6yacS2HNKeMJJM2kw6QVq&#10;ywIjBy//gdKSewu2DQtudTYSSYogiyJ/os19x5xIXFBqcBfR4f/B8k/HL57IpqYrSgzT2PDzzx/n&#10;X3/Ov7+TIi9XUaHeQYWB9w5Dw/DODjg38z3gZSQ+tF7HHSkR9KO+p4u+YgiEx0fFcnVdUsLRVVwX&#10;y2UZUbLHx85DeC+sJtGoqcf2JVXZ8SOEMXQOibmMvZNKpRYqQ3oELW/elOnFxYXoysRgkaZhwomM&#10;xsqjFYbdMNHc2eaELHuciJoa/ACUqA8GBY/DMxt+NnazcXBe7jssuUjZwb09BCwu1RwzjLDINR6w&#10;lYn1NHZxVv4+p6jHr7Z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yepa83wEAALIDAAAO&#10;AAAAAAAAAAEAIAAAACMBAABkcnMvZTJvRG9jLnhtbFBLBQYAAAAABgAGAFkBAAB0BQAAAAA=&#10;">
              <v:fill on="f" focussize="0,0"/>
              <v:stroke on="f" weight="1.25pt"/>
              <v:imagedata o:title=""/>
              <o:lock v:ext="edit" aspectratio="f"/>
              <v:textbox inset="0mm,0mm,0mm,0mm" style="mso-fit-shape-to-text:t;">
                <w:txbxContent>
                  <w:p>
                    <w:pPr>
                      <w:pStyle w:val="2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left" w:pos="4200"/>
        <w:tab w:val="left" w:pos="4620"/>
        <w:tab w:val="clear" w:pos="8306"/>
      </w:tabs>
      <w:jc w:val="left"/>
    </w:pP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970F9"/>
    <w:multiLevelType w:val="singleLevel"/>
    <w:tmpl w:val="58B970F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hideSpellingErrors/>
  <w:documentProtection w:edit="readOnly" w:enforcement="0"/>
  <w:defaultTabStop w:val="420"/>
  <w:drawingGridHorizontalSpacing w:val="170"/>
  <w:drawingGridVerticalSpacing w:val="23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DljODI5MzA2ZjE2MzBjMzgwNjRlZjQyZjMxNmUifQ=="/>
  </w:docVars>
  <w:rsids>
    <w:rsidRoot w:val="00172A27"/>
    <w:rsid w:val="00003093"/>
    <w:rsid w:val="00005437"/>
    <w:rsid w:val="000076FC"/>
    <w:rsid w:val="0001052B"/>
    <w:rsid w:val="00011806"/>
    <w:rsid w:val="0001799E"/>
    <w:rsid w:val="00026ED4"/>
    <w:rsid w:val="00030F31"/>
    <w:rsid w:val="000367D8"/>
    <w:rsid w:val="000378CE"/>
    <w:rsid w:val="00043BFA"/>
    <w:rsid w:val="0004555D"/>
    <w:rsid w:val="0004798E"/>
    <w:rsid w:val="0005257A"/>
    <w:rsid w:val="00054BB2"/>
    <w:rsid w:val="000624FE"/>
    <w:rsid w:val="00062794"/>
    <w:rsid w:val="00066573"/>
    <w:rsid w:val="00071CA4"/>
    <w:rsid w:val="00072E99"/>
    <w:rsid w:val="000742BE"/>
    <w:rsid w:val="00075403"/>
    <w:rsid w:val="000755FF"/>
    <w:rsid w:val="00076568"/>
    <w:rsid w:val="000768EA"/>
    <w:rsid w:val="00076D5D"/>
    <w:rsid w:val="00081F9C"/>
    <w:rsid w:val="00082402"/>
    <w:rsid w:val="000873BF"/>
    <w:rsid w:val="00091E59"/>
    <w:rsid w:val="000A0630"/>
    <w:rsid w:val="000A06B8"/>
    <w:rsid w:val="000A1AA1"/>
    <w:rsid w:val="000A1BC1"/>
    <w:rsid w:val="000A578C"/>
    <w:rsid w:val="000A5BC2"/>
    <w:rsid w:val="000A6039"/>
    <w:rsid w:val="000B0836"/>
    <w:rsid w:val="000B22BF"/>
    <w:rsid w:val="000B29BB"/>
    <w:rsid w:val="000B4F4A"/>
    <w:rsid w:val="000B51D0"/>
    <w:rsid w:val="000B5722"/>
    <w:rsid w:val="000B5D15"/>
    <w:rsid w:val="000B655E"/>
    <w:rsid w:val="000B7042"/>
    <w:rsid w:val="000B7C96"/>
    <w:rsid w:val="000C0516"/>
    <w:rsid w:val="000C24C1"/>
    <w:rsid w:val="000C7992"/>
    <w:rsid w:val="000E1FBE"/>
    <w:rsid w:val="000E3D05"/>
    <w:rsid w:val="000E400E"/>
    <w:rsid w:val="000E53A6"/>
    <w:rsid w:val="000E5696"/>
    <w:rsid w:val="000E786C"/>
    <w:rsid w:val="000F2165"/>
    <w:rsid w:val="000F33C0"/>
    <w:rsid w:val="000F7854"/>
    <w:rsid w:val="00103257"/>
    <w:rsid w:val="00103C18"/>
    <w:rsid w:val="00104463"/>
    <w:rsid w:val="0011503E"/>
    <w:rsid w:val="0012026C"/>
    <w:rsid w:val="00120FB2"/>
    <w:rsid w:val="00121D61"/>
    <w:rsid w:val="00123A55"/>
    <w:rsid w:val="0012748B"/>
    <w:rsid w:val="001316A0"/>
    <w:rsid w:val="001342C9"/>
    <w:rsid w:val="00136F14"/>
    <w:rsid w:val="001403F2"/>
    <w:rsid w:val="00141C77"/>
    <w:rsid w:val="00141CF4"/>
    <w:rsid w:val="001454DE"/>
    <w:rsid w:val="00147C0E"/>
    <w:rsid w:val="00147C4B"/>
    <w:rsid w:val="00151CA5"/>
    <w:rsid w:val="00162245"/>
    <w:rsid w:val="00162F6A"/>
    <w:rsid w:val="00171608"/>
    <w:rsid w:val="00171734"/>
    <w:rsid w:val="0017254D"/>
    <w:rsid w:val="00172A27"/>
    <w:rsid w:val="00175345"/>
    <w:rsid w:val="00176A9D"/>
    <w:rsid w:val="00177C1D"/>
    <w:rsid w:val="00183210"/>
    <w:rsid w:val="00183EC3"/>
    <w:rsid w:val="00184849"/>
    <w:rsid w:val="00185998"/>
    <w:rsid w:val="0018659A"/>
    <w:rsid w:val="00191A73"/>
    <w:rsid w:val="001923DE"/>
    <w:rsid w:val="0019280F"/>
    <w:rsid w:val="001A0D2F"/>
    <w:rsid w:val="001A1C76"/>
    <w:rsid w:val="001A3DAD"/>
    <w:rsid w:val="001A4DF7"/>
    <w:rsid w:val="001B201E"/>
    <w:rsid w:val="001C34DD"/>
    <w:rsid w:val="001D1348"/>
    <w:rsid w:val="001D78EE"/>
    <w:rsid w:val="001D7CA9"/>
    <w:rsid w:val="001E07B2"/>
    <w:rsid w:val="001E2A4F"/>
    <w:rsid w:val="001E35BB"/>
    <w:rsid w:val="001E4428"/>
    <w:rsid w:val="001E5054"/>
    <w:rsid w:val="001E637F"/>
    <w:rsid w:val="001E653D"/>
    <w:rsid w:val="001E6F0D"/>
    <w:rsid w:val="001E70C3"/>
    <w:rsid w:val="001E71B2"/>
    <w:rsid w:val="001F272C"/>
    <w:rsid w:val="001F300D"/>
    <w:rsid w:val="001F7B9A"/>
    <w:rsid w:val="0020154A"/>
    <w:rsid w:val="00201B33"/>
    <w:rsid w:val="0020235B"/>
    <w:rsid w:val="00204ECB"/>
    <w:rsid w:val="0020576E"/>
    <w:rsid w:val="00205D8B"/>
    <w:rsid w:val="00214DC6"/>
    <w:rsid w:val="002154A8"/>
    <w:rsid w:val="00216A75"/>
    <w:rsid w:val="0022083D"/>
    <w:rsid w:val="0022230E"/>
    <w:rsid w:val="00223B12"/>
    <w:rsid w:val="002248E3"/>
    <w:rsid w:val="00226459"/>
    <w:rsid w:val="00230C71"/>
    <w:rsid w:val="002323D2"/>
    <w:rsid w:val="00232F16"/>
    <w:rsid w:val="0023657B"/>
    <w:rsid w:val="00242DF1"/>
    <w:rsid w:val="002442B8"/>
    <w:rsid w:val="0024782D"/>
    <w:rsid w:val="00263698"/>
    <w:rsid w:val="00264528"/>
    <w:rsid w:val="00264AB6"/>
    <w:rsid w:val="00271A9C"/>
    <w:rsid w:val="002725F1"/>
    <w:rsid w:val="00273A3C"/>
    <w:rsid w:val="0027644B"/>
    <w:rsid w:val="0027764F"/>
    <w:rsid w:val="00277CA6"/>
    <w:rsid w:val="00280D25"/>
    <w:rsid w:val="0028593C"/>
    <w:rsid w:val="0029138D"/>
    <w:rsid w:val="00297734"/>
    <w:rsid w:val="002A23A2"/>
    <w:rsid w:val="002A3D6C"/>
    <w:rsid w:val="002A6B34"/>
    <w:rsid w:val="002B01E7"/>
    <w:rsid w:val="002B3F5A"/>
    <w:rsid w:val="002C16F9"/>
    <w:rsid w:val="002C2421"/>
    <w:rsid w:val="002C2B76"/>
    <w:rsid w:val="002D2372"/>
    <w:rsid w:val="002D6954"/>
    <w:rsid w:val="002E0362"/>
    <w:rsid w:val="002E5204"/>
    <w:rsid w:val="002F0201"/>
    <w:rsid w:val="002F3347"/>
    <w:rsid w:val="002F4D05"/>
    <w:rsid w:val="00300F8D"/>
    <w:rsid w:val="00310A21"/>
    <w:rsid w:val="003137C9"/>
    <w:rsid w:val="00314550"/>
    <w:rsid w:val="0032077B"/>
    <w:rsid w:val="0032263F"/>
    <w:rsid w:val="0032712E"/>
    <w:rsid w:val="00333406"/>
    <w:rsid w:val="00334BA3"/>
    <w:rsid w:val="0033621A"/>
    <w:rsid w:val="003366FF"/>
    <w:rsid w:val="003414D8"/>
    <w:rsid w:val="00341AE2"/>
    <w:rsid w:val="00345647"/>
    <w:rsid w:val="0034651E"/>
    <w:rsid w:val="00346CA3"/>
    <w:rsid w:val="003544A6"/>
    <w:rsid w:val="00356605"/>
    <w:rsid w:val="0035785C"/>
    <w:rsid w:val="00361A19"/>
    <w:rsid w:val="00373D2F"/>
    <w:rsid w:val="003746B9"/>
    <w:rsid w:val="0037668F"/>
    <w:rsid w:val="00376695"/>
    <w:rsid w:val="00377CED"/>
    <w:rsid w:val="00383055"/>
    <w:rsid w:val="00383998"/>
    <w:rsid w:val="00391A5B"/>
    <w:rsid w:val="00391E0F"/>
    <w:rsid w:val="003962E1"/>
    <w:rsid w:val="003A1478"/>
    <w:rsid w:val="003A236D"/>
    <w:rsid w:val="003A34DD"/>
    <w:rsid w:val="003A388A"/>
    <w:rsid w:val="003A3EC8"/>
    <w:rsid w:val="003A65D2"/>
    <w:rsid w:val="003A7051"/>
    <w:rsid w:val="003B228D"/>
    <w:rsid w:val="003B2732"/>
    <w:rsid w:val="003B7D56"/>
    <w:rsid w:val="003C05CA"/>
    <w:rsid w:val="003C4F8D"/>
    <w:rsid w:val="003C5E01"/>
    <w:rsid w:val="003C6ADB"/>
    <w:rsid w:val="003D0ED7"/>
    <w:rsid w:val="003D6218"/>
    <w:rsid w:val="003D7141"/>
    <w:rsid w:val="003E1033"/>
    <w:rsid w:val="003E449B"/>
    <w:rsid w:val="003E64E7"/>
    <w:rsid w:val="003F15EF"/>
    <w:rsid w:val="003F16FC"/>
    <w:rsid w:val="003F3439"/>
    <w:rsid w:val="003F34AB"/>
    <w:rsid w:val="003F5224"/>
    <w:rsid w:val="003F5BBA"/>
    <w:rsid w:val="003F7451"/>
    <w:rsid w:val="004006DC"/>
    <w:rsid w:val="00401779"/>
    <w:rsid w:val="0040265B"/>
    <w:rsid w:val="00402DA6"/>
    <w:rsid w:val="00403EAA"/>
    <w:rsid w:val="00404D64"/>
    <w:rsid w:val="00405D57"/>
    <w:rsid w:val="00406ED5"/>
    <w:rsid w:val="00410387"/>
    <w:rsid w:val="0041212C"/>
    <w:rsid w:val="00417180"/>
    <w:rsid w:val="00423FEF"/>
    <w:rsid w:val="00430D77"/>
    <w:rsid w:val="004313EC"/>
    <w:rsid w:val="0043303C"/>
    <w:rsid w:val="00435675"/>
    <w:rsid w:val="00435A4D"/>
    <w:rsid w:val="00436553"/>
    <w:rsid w:val="0043762D"/>
    <w:rsid w:val="00443349"/>
    <w:rsid w:val="00446864"/>
    <w:rsid w:val="00453A6D"/>
    <w:rsid w:val="00456F5C"/>
    <w:rsid w:val="00462006"/>
    <w:rsid w:val="00472F08"/>
    <w:rsid w:val="004732DD"/>
    <w:rsid w:val="004748E0"/>
    <w:rsid w:val="00475F73"/>
    <w:rsid w:val="00483923"/>
    <w:rsid w:val="00486FDE"/>
    <w:rsid w:val="004875C2"/>
    <w:rsid w:val="0049265D"/>
    <w:rsid w:val="00497979"/>
    <w:rsid w:val="004A0253"/>
    <w:rsid w:val="004A1D60"/>
    <w:rsid w:val="004A2915"/>
    <w:rsid w:val="004A4E05"/>
    <w:rsid w:val="004A75CC"/>
    <w:rsid w:val="004B1A97"/>
    <w:rsid w:val="004B3B3A"/>
    <w:rsid w:val="004B515B"/>
    <w:rsid w:val="004B6593"/>
    <w:rsid w:val="004C26FB"/>
    <w:rsid w:val="004C746F"/>
    <w:rsid w:val="004C750B"/>
    <w:rsid w:val="004D610D"/>
    <w:rsid w:val="004D610E"/>
    <w:rsid w:val="004E07EC"/>
    <w:rsid w:val="004E4232"/>
    <w:rsid w:val="004F5728"/>
    <w:rsid w:val="005005FC"/>
    <w:rsid w:val="00500D79"/>
    <w:rsid w:val="00502E18"/>
    <w:rsid w:val="00503433"/>
    <w:rsid w:val="0050582C"/>
    <w:rsid w:val="00507550"/>
    <w:rsid w:val="005105BB"/>
    <w:rsid w:val="0051074D"/>
    <w:rsid w:val="0051122B"/>
    <w:rsid w:val="00512432"/>
    <w:rsid w:val="005128A3"/>
    <w:rsid w:val="005136FB"/>
    <w:rsid w:val="00517D0A"/>
    <w:rsid w:val="00521F03"/>
    <w:rsid w:val="0052379F"/>
    <w:rsid w:val="00525395"/>
    <w:rsid w:val="00530E75"/>
    <w:rsid w:val="005334D9"/>
    <w:rsid w:val="00533543"/>
    <w:rsid w:val="00536CFD"/>
    <w:rsid w:val="00541F72"/>
    <w:rsid w:val="0054501A"/>
    <w:rsid w:val="0055689E"/>
    <w:rsid w:val="00560003"/>
    <w:rsid w:val="00563802"/>
    <w:rsid w:val="00567592"/>
    <w:rsid w:val="00574595"/>
    <w:rsid w:val="00580A0D"/>
    <w:rsid w:val="00585488"/>
    <w:rsid w:val="00585F3E"/>
    <w:rsid w:val="00590284"/>
    <w:rsid w:val="0059449F"/>
    <w:rsid w:val="005A2C39"/>
    <w:rsid w:val="005A5F29"/>
    <w:rsid w:val="005A75DF"/>
    <w:rsid w:val="005B2DEC"/>
    <w:rsid w:val="005C0669"/>
    <w:rsid w:val="005C1806"/>
    <w:rsid w:val="005C1D05"/>
    <w:rsid w:val="005C644D"/>
    <w:rsid w:val="005C6548"/>
    <w:rsid w:val="005C7CC6"/>
    <w:rsid w:val="005D04B7"/>
    <w:rsid w:val="005D2389"/>
    <w:rsid w:val="005D2B44"/>
    <w:rsid w:val="005D690A"/>
    <w:rsid w:val="005D6929"/>
    <w:rsid w:val="005E0078"/>
    <w:rsid w:val="005E16D8"/>
    <w:rsid w:val="005E489A"/>
    <w:rsid w:val="005E4BEA"/>
    <w:rsid w:val="005E4FB3"/>
    <w:rsid w:val="005F175A"/>
    <w:rsid w:val="005F344F"/>
    <w:rsid w:val="005F66E0"/>
    <w:rsid w:val="005F66FA"/>
    <w:rsid w:val="005F7E2C"/>
    <w:rsid w:val="00603686"/>
    <w:rsid w:val="00603AE6"/>
    <w:rsid w:val="00605DF3"/>
    <w:rsid w:val="0060616C"/>
    <w:rsid w:val="00622F92"/>
    <w:rsid w:val="006231ED"/>
    <w:rsid w:val="00623EEC"/>
    <w:rsid w:val="00627719"/>
    <w:rsid w:val="006314B9"/>
    <w:rsid w:val="00631ABA"/>
    <w:rsid w:val="0063290F"/>
    <w:rsid w:val="006353B4"/>
    <w:rsid w:val="00637699"/>
    <w:rsid w:val="00637A4F"/>
    <w:rsid w:val="00640028"/>
    <w:rsid w:val="006446B9"/>
    <w:rsid w:val="00646018"/>
    <w:rsid w:val="006612B7"/>
    <w:rsid w:val="00663420"/>
    <w:rsid w:val="006652AD"/>
    <w:rsid w:val="00666AE0"/>
    <w:rsid w:val="0067032C"/>
    <w:rsid w:val="00670569"/>
    <w:rsid w:val="0067636A"/>
    <w:rsid w:val="00677773"/>
    <w:rsid w:val="006816CD"/>
    <w:rsid w:val="00683028"/>
    <w:rsid w:val="006837E6"/>
    <w:rsid w:val="00683AB1"/>
    <w:rsid w:val="0068705F"/>
    <w:rsid w:val="00687E3E"/>
    <w:rsid w:val="00690BAE"/>
    <w:rsid w:val="006947D2"/>
    <w:rsid w:val="00695EF5"/>
    <w:rsid w:val="006A5096"/>
    <w:rsid w:val="006A7838"/>
    <w:rsid w:val="006B0BAF"/>
    <w:rsid w:val="006B2615"/>
    <w:rsid w:val="006B3032"/>
    <w:rsid w:val="006B4ADF"/>
    <w:rsid w:val="006B690F"/>
    <w:rsid w:val="006B6CEF"/>
    <w:rsid w:val="006B6D73"/>
    <w:rsid w:val="006B7384"/>
    <w:rsid w:val="006C0E68"/>
    <w:rsid w:val="006C5584"/>
    <w:rsid w:val="006D24C3"/>
    <w:rsid w:val="006D3065"/>
    <w:rsid w:val="006D6F45"/>
    <w:rsid w:val="006E1F50"/>
    <w:rsid w:val="006E25F1"/>
    <w:rsid w:val="006E3F15"/>
    <w:rsid w:val="006F11D5"/>
    <w:rsid w:val="006F3345"/>
    <w:rsid w:val="006F4974"/>
    <w:rsid w:val="007106A8"/>
    <w:rsid w:val="007109B2"/>
    <w:rsid w:val="007131B1"/>
    <w:rsid w:val="00714568"/>
    <w:rsid w:val="00716999"/>
    <w:rsid w:val="0072189B"/>
    <w:rsid w:val="00725119"/>
    <w:rsid w:val="0073031E"/>
    <w:rsid w:val="00733B33"/>
    <w:rsid w:val="00734892"/>
    <w:rsid w:val="00740906"/>
    <w:rsid w:val="00740E09"/>
    <w:rsid w:val="00741E1D"/>
    <w:rsid w:val="007425DF"/>
    <w:rsid w:val="00743FCB"/>
    <w:rsid w:val="007471D0"/>
    <w:rsid w:val="00747FB6"/>
    <w:rsid w:val="00756031"/>
    <w:rsid w:val="00756318"/>
    <w:rsid w:val="007637C3"/>
    <w:rsid w:val="00771302"/>
    <w:rsid w:val="00772599"/>
    <w:rsid w:val="0077793F"/>
    <w:rsid w:val="00781A75"/>
    <w:rsid w:val="00782D1F"/>
    <w:rsid w:val="00783CFE"/>
    <w:rsid w:val="00785342"/>
    <w:rsid w:val="00786B12"/>
    <w:rsid w:val="00786D0A"/>
    <w:rsid w:val="00793882"/>
    <w:rsid w:val="0079773A"/>
    <w:rsid w:val="007A0067"/>
    <w:rsid w:val="007A4A9B"/>
    <w:rsid w:val="007A573A"/>
    <w:rsid w:val="007A5EDC"/>
    <w:rsid w:val="007B0B07"/>
    <w:rsid w:val="007B310F"/>
    <w:rsid w:val="007B3B07"/>
    <w:rsid w:val="007C053F"/>
    <w:rsid w:val="007C2D78"/>
    <w:rsid w:val="007C427D"/>
    <w:rsid w:val="007C46D7"/>
    <w:rsid w:val="007C683B"/>
    <w:rsid w:val="007C6E57"/>
    <w:rsid w:val="007C70E2"/>
    <w:rsid w:val="007E023F"/>
    <w:rsid w:val="007E20B9"/>
    <w:rsid w:val="007E599F"/>
    <w:rsid w:val="007E7FAC"/>
    <w:rsid w:val="007F169A"/>
    <w:rsid w:val="00800AFE"/>
    <w:rsid w:val="00804C01"/>
    <w:rsid w:val="00805A8E"/>
    <w:rsid w:val="00811C02"/>
    <w:rsid w:val="00812077"/>
    <w:rsid w:val="008177C0"/>
    <w:rsid w:val="00820DAB"/>
    <w:rsid w:val="00827E8D"/>
    <w:rsid w:val="00830553"/>
    <w:rsid w:val="0083493C"/>
    <w:rsid w:val="0083721E"/>
    <w:rsid w:val="0083775F"/>
    <w:rsid w:val="00837ED2"/>
    <w:rsid w:val="008432B0"/>
    <w:rsid w:val="00853824"/>
    <w:rsid w:val="00855544"/>
    <w:rsid w:val="008563C4"/>
    <w:rsid w:val="00856548"/>
    <w:rsid w:val="00862AC5"/>
    <w:rsid w:val="00865E17"/>
    <w:rsid w:val="0086612A"/>
    <w:rsid w:val="00873598"/>
    <w:rsid w:val="008739BA"/>
    <w:rsid w:val="00873F09"/>
    <w:rsid w:val="00875067"/>
    <w:rsid w:val="00875C0C"/>
    <w:rsid w:val="00877320"/>
    <w:rsid w:val="00882ED0"/>
    <w:rsid w:val="00884AE5"/>
    <w:rsid w:val="00887507"/>
    <w:rsid w:val="00892702"/>
    <w:rsid w:val="00892707"/>
    <w:rsid w:val="00897285"/>
    <w:rsid w:val="008978CE"/>
    <w:rsid w:val="008A2246"/>
    <w:rsid w:val="008B06C8"/>
    <w:rsid w:val="008B0806"/>
    <w:rsid w:val="008B1E90"/>
    <w:rsid w:val="008B2CE6"/>
    <w:rsid w:val="008C708E"/>
    <w:rsid w:val="008C7A1E"/>
    <w:rsid w:val="008E340A"/>
    <w:rsid w:val="008E3ED6"/>
    <w:rsid w:val="008E41AB"/>
    <w:rsid w:val="008E5698"/>
    <w:rsid w:val="008F2FBA"/>
    <w:rsid w:val="008F62D5"/>
    <w:rsid w:val="00904884"/>
    <w:rsid w:val="00904BDB"/>
    <w:rsid w:val="0091011C"/>
    <w:rsid w:val="009115B3"/>
    <w:rsid w:val="0091178A"/>
    <w:rsid w:val="00911E56"/>
    <w:rsid w:val="00913E8B"/>
    <w:rsid w:val="00914959"/>
    <w:rsid w:val="00917151"/>
    <w:rsid w:val="00917C46"/>
    <w:rsid w:val="0092074D"/>
    <w:rsid w:val="009403F0"/>
    <w:rsid w:val="0094130E"/>
    <w:rsid w:val="0094343E"/>
    <w:rsid w:val="009438CC"/>
    <w:rsid w:val="00943B21"/>
    <w:rsid w:val="009549E7"/>
    <w:rsid w:val="0095754E"/>
    <w:rsid w:val="00957B66"/>
    <w:rsid w:val="00964FCE"/>
    <w:rsid w:val="0096587F"/>
    <w:rsid w:val="009731FA"/>
    <w:rsid w:val="00974394"/>
    <w:rsid w:val="00975911"/>
    <w:rsid w:val="00975A93"/>
    <w:rsid w:val="00976336"/>
    <w:rsid w:val="009818F3"/>
    <w:rsid w:val="00994D71"/>
    <w:rsid w:val="009A0D29"/>
    <w:rsid w:val="009A170F"/>
    <w:rsid w:val="009A3C7A"/>
    <w:rsid w:val="009A3E86"/>
    <w:rsid w:val="009A693A"/>
    <w:rsid w:val="009A6A4B"/>
    <w:rsid w:val="009A7927"/>
    <w:rsid w:val="009A79E3"/>
    <w:rsid w:val="009B0703"/>
    <w:rsid w:val="009B283F"/>
    <w:rsid w:val="009B66E1"/>
    <w:rsid w:val="009B7F72"/>
    <w:rsid w:val="009C1465"/>
    <w:rsid w:val="009C2639"/>
    <w:rsid w:val="009C4F66"/>
    <w:rsid w:val="009C511F"/>
    <w:rsid w:val="009C7209"/>
    <w:rsid w:val="009D033E"/>
    <w:rsid w:val="009D0BDC"/>
    <w:rsid w:val="009D371E"/>
    <w:rsid w:val="009E2A26"/>
    <w:rsid w:val="009E3A87"/>
    <w:rsid w:val="00A02560"/>
    <w:rsid w:val="00A07136"/>
    <w:rsid w:val="00A11E39"/>
    <w:rsid w:val="00A1357F"/>
    <w:rsid w:val="00A16BBF"/>
    <w:rsid w:val="00A17DBA"/>
    <w:rsid w:val="00A202CB"/>
    <w:rsid w:val="00A22E61"/>
    <w:rsid w:val="00A244D9"/>
    <w:rsid w:val="00A25A8D"/>
    <w:rsid w:val="00A2670C"/>
    <w:rsid w:val="00A27D1A"/>
    <w:rsid w:val="00A317F3"/>
    <w:rsid w:val="00A3227D"/>
    <w:rsid w:val="00A329B4"/>
    <w:rsid w:val="00A37899"/>
    <w:rsid w:val="00A4025D"/>
    <w:rsid w:val="00A43494"/>
    <w:rsid w:val="00A54CA9"/>
    <w:rsid w:val="00A55BA0"/>
    <w:rsid w:val="00A61D1B"/>
    <w:rsid w:val="00A622B6"/>
    <w:rsid w:val="00A633B3"/>
    <w:rsid w:val="00A64B66"/>
    <w:rsid w:val="00A72C37"/>
    <w:rsid w:val="00A77834"/>
    <w:rsid w:val="00A90233"/>
    <w:rsid w:val="00A9464C"/>
    <w:rsid w:val="00AA0793"/>
    <w:rsid w:val="00AA0DE7"/>
    <w:rsid w:val="00AA4D1E"/>
    <w:rsid w:val="00AB2138"/>
    <w:rsid w:val="00AB443F"/>
    <w:rsid w:val="00AB5CE6"/>
    <w:rsid w:val="00AC2AB9"/>
    <w:rsid w:val="00AC448B"/>
    <w:rsid w:val="00AD0CBC"/>
    <w:rsid w:val="00AD0E89"/>
    <w:rsid w:val="00AD22EE"/>
    <w:rsid w:val="00AD24F0"/>
    <w:rsid w:val="00AD38CF"/>
    <w:rsid w:val="00AE5C7F"/>
    <w:rsid w:val="00AE688B"/>
    <w:rsid w:val="00AF5FFA"/>
    <w:rsid w:val="00B00D27"/>
    <w:rsid w:val="00B01D76"/>
    <w:rsid w:val="00B027DB"/>
    <w:rsid w:val="00B03CF3"/>
    <w:rsid w:val="00B050F5"/>
    <w:rsid w:val="00B05B30"/>
    <w:rsid w:val="00B061EB"/>
    <w:rsid w:val="00B10091"/>
    <w:rsid w:val="00B10DCD"/>
    <w:rsid w:val="00B11D96"/>
    <w:rsid w:val="00B12C33"/>
    <w:rsid w:val="00B14C80"/>
    <w:rsid w:val="00B21756"/>
    <w:rsid w:val="00B22434"/>
    <w:rsid w:val="00B35BD6"/>
    <w:rsid w:val="00B40194"/>
    <w:rsid w:val="00B41498"/>
    <w:rsid w:val="00B41FB6"/>
    <w:rsid w:val="00B432A8"/>
    <w:rsid w:val="00B4345B"/>
    <w:rsid w:val="00B45678"/>
    <w:rsid w:val="00B47B4C"/>
    <w:rsid w:val="00B50C2C"/>
    <w:rsid w:val="00B511E7"/>
    <w:rsid w:val="00B530D4"/>
    <w:rsid w:val="00B60BA3"/>
    <w:rsid w:val="00B62115"/>
    <w:rsid w:val="00B63E6C"/>
    <w:rsid w:val="00B65E1B"/>
    <w:rsid w:val="00B70205"/>
    <w:rsid w:val="00B70435"/>
    <w:rsid w:val="00B70BCC"/>
    <w:rsid w:val="00B719B8"/>
    <w:rsid w:val="00B7716E"/>
    <w:rsid w:val="00B77DA3"/>
    <w:rsid w:val="00B86963"/>
    <w:rsid w:val="00B87FC8"/>
    <w:rsid w:val="00B90046"/>
    <w:rsid w:val="00B91127"/>
    <w:rsid w:val="00B96370"/>
    <w:rsid w:val="00B977A4"/>
    <w:rsid w:val="00BA0871"/>
    <w:rsid w:val="00BA11B7"/>
    <w:rsid w:val="00BA1F24"/>
    <w:rsid w:val="00BB310C"/>
    <w:rsid w:val="00BB6EF2"/>
    <w:rsid w:val="00BC2FFB"/>
    <w:rsid w:val="00BD146C"/>
    <w:rsid w:val="00BD25B5"/>
    <w:rsid w:val="00BE039B"/>
    <w:rsid w:val="00BE1CC5"/>
    <w:rsid w:val="00BE1F75"/>
    <w:rsid w:val="00BE3C42"/>
    <w:rsid w:val="00BF1BD0"/>
    <w:rsid w:val="00BF3468"/>
    <w:rsid w:val="00BF3F8C"/>
    <w:rsid w:val="00BF669E"/>
    <w:rsid w:val="00C0174A"/>
    <w:rsid w:val="00C02C78"/>
    <w:rsid w:val="00C04E80"/>
    <w:rsid w:val="00C070A2"/>
    <w:rsid w:val="00C11A4F"/>
    <w:rsid w:val="00C14083"/>
    <w:rsid w:val="00C17DE8"/>
    <w:rsid w:val="00C200FE"/>
    <w:rsid w:val="00C204A7"/>
    <w:rsid w:val="00C22E85"/>
    <w:rsid w:val="00C2398C"/>
    <w:rsid w:val="00C3230A"/>
    <w:rsid w:val="00C33DA1"/>
    <w:rsid w:val="00C34C0A"/>
    <w:rsid w:val="00C36C1E"/>
    <w:rsid w:val="00C42366"/>
    <w:rsid w:val="00C441B7"/>
    <w:rsid w:val="00C51C9B"/>
    <w:rsid w:val="00C542D6"/>
    <w:rsid w:val="00C6008B"/>
    <w:rsid w:val="00C61281"/>
    <w:rsid w:val="00C61D0F"/>
    <w:rsid w:val="00C627AE"/>
    <w:rsid w:val="00C63133"/>
    <w:rsid w:val="00C631F0"/>
    <w:rsid w:val="00C64C44"/>
    <w:rsid w:val="00C671D2"/>
    <w:rsid w:val="00C70C63"/>
    <w:rsid w:val="00C714D8"/>
    <w:rsid w:val="00C721B4"/>
    <w:rsid w:val="00C730EE"/>
    <w:rsid w:val="00C820FB"/>
    <w:rsid w:val="00C83BDF"/>
    <w:rsid w:val="00C84E25"/>
    <w:rsid w:val="00C85D2A"/>
    <w:rsid w:val="00C87D3B"/>
    <w:rsid w:val="00CA2548"/>
    <w:rsid w:val="00CA2A2D"/>
    <w:rsid w:val="00CA32CC"/>
    <w:rsid w:val="00CA5B58"/>
    <w:rsid w:val="00CA62F0"/>
    <w:rsid w:val="00CB1C07"/>
    <w:rsid w:val="00CB26BB"/>
    <w:rsid w:val="00CB29F6"/>
    <w:rsid w:val="00CB3EF1"/>
    <w:rsid w:val="00CB7AE4"/>
    <w:rsid w:val="00CB7BBE"/>
    <w:rsid w:val="00CC239C"/>
    <w:rsid w:val="00CD1A82"/>
    <w:rsid w:val="00CD2A94"/>
    <w:rsid w:val="00CD3BBA"/>
    <w:rsid w:val="00CD6066"/>
    <w:rsid w:val="00CD61E2"/>
    <w:rsid w:val="00CD683B"/>
    <w:rsid w:val="00CE15B7"/>
    <w:rsid w:val="00CE4949"/>
    <w:rsid w:val="00CE5A03"/>
    <w:rsid w:val="00CE7138"/>
    <w:rsid w:val="00CE734A"/>
    <w:rsid w:val="00CF23AA"/>
    <w:rsid w:val="00CF345A"/>
    <w:rsid w:val="00CF492E"/>
    <w:rsid w:val="00CF5B04"/>
    <w:rsid w:val="00D00678"/>
    <w:rsid w:val="00D00934"/>
    <w:rsid w:val="00D0528A"/>
    <w:rsid w:val="00D1263A"/>
    <w:rsid w:val="00D15517"/>
    <w:rsid w:val="00D16FD3"/>
    <w:rsid w:val="00D17651"/>
    <w:rsid w:val="00D20178"/>
    <w:rsid w:val="00D20339"/>
    <w:rsid w:val="00D20D35"/>
    <w:rsid w:val="00D3162B"/>
    <w:rsid w:val="00D33CDF"/>
    <w:rsid w:val="00D34112"/>
    <w:rsid w:val="00D343F7"/>
    <w:rsid w:val="00D34A5E"/>
    <w:rsid w:val="00D36588"/>
    <w:rsid w:val="00D40764"/>
    <w:rsid w:val="00D40EF4"/>
    <w:rsid w:val="00D44B89"/>
    <w:rsid w:val="00D450D1"/>
    <w:rsid w:val="00D571B6"/>
    <w:rsid w:val="00D57D81"/>
    <w:rsid w:val="00D61F31"/>
    <w:rsid w:val="00D6228D"/>
    <w:rsid w:val="00D62A0F"/>
    <w:rsid w:val="00D62EF9"/>
    <w:rsid w:val="00D70EA7"/>
    <w:rsid w:val="00D753B5"/>
    <w:rsid w:val="00D80EF1"/>
    <w:rsid w:val="00D8527E"/>
    <w:rsid w:val="00D9275A"/>
    <w:rsid w:val="00DA0D31"/>
    <w:rsid w:val="00DA5CA6"/>
    <w:rsid w:val="00DA5ECD"/>
    <w:rsid w:val="00DA7930"/>
    <w:rsid w:val="00DB0340"/>
    <w:rsid w:val="00DB1A92"/>
    <w:rsid w:val="00DB5BD1"/>
    <w:rsid w:val="00DB6099"/>
    <w:rsid w:val="00DB631F"/>
    <w:rsid w:val="00DB6D25"/>
    <w:rsid w:val="00DC30F6"/>
    <w:rsid w:val="00DC3D4E"/>
    <w:rsid w:val="00DC4A0B"/>
    <w:rsid w:val="00DC4AB9"/>
    <w:rsid w:val="00DD1CDB"/>
    <w:rsid w:val="00DD2044"/>
    <w:rsid w:val="00DD34CE"/>
    <w:rsid w:val="00DD4C96"/>
    <w:rsid w:val="00DD6E44"/>
    <w:rsid w:val="00DE13C1"/>
    <w:rsid w:val="00DE361C"/>
    <w:rsid w:val="00DE60E0"/>
    <w:rsid w:val="00DE794C"/>
    <w:rsid w:val="00DF19C5"/>
    <w:rsid w:val="00DF46CB"/>
    <w:rsid w:val="00DF6729"/>
    <w:rsid w:val="00DF7591"/>
    <w:rsid w:val="00DF7986"/>
    <w:rsid w:val="00E03665"/>
    <w:rsid w:val="00E05C5A"/>
    <w:rsid w:val="00E06926"/>
    <w:rsid w:val="00E10701"/>
    <w:rsid w:val="00E168EC"/>
    <w:rsid w:val="00E16CF1"/>
    <w:rsid w:val="00E17999"/>
    <w:rsid w:val="00E221BE"/>
    <w:rsid w:val="00E22671"/>
    <w:rsid w:val="00E26B68"/>
    <w:rsid w:val="00E26BE7"/>
    <w:rsid w:val="00E27D89"/>
    <w:rsid w:val="00E33B7A"/>
    <w:rsid w:val="00E3641C"/>
    <w:rsid w:val="00E36553"/>
    <w:rsid w:val="00E50C05"/>
    <w:rsid w:val="00E5137D"/>
    <w:rsid w:val="00E517F5"/>
    <w:rsid w:val="00E520E6"/>
    <w:rsid w:val="00E5264D"/>
    <w:rsid w:val="00E7040F"/>
    <w:rsid w:val="00E71AB4"/>
    <w:rsid w:val="00E72A84"/>
    <w:rsid w:val="00E759FE"/>
    <w:rsid w:val="00E76B43"/>
    <w:rsid w:val="00E83C34"/>
    <w:rsid w:val="00E914D2"/>
    <w:rsid w:val="00E91AA7"/>
    <w:rsid w:val="00EA01FC"/>
    <w:rsid w:val="00EA2588"/>
    <w:rsid w:val="00EB3053"/>
    <w:rsid w:val="00EC4738"/>
    <w:rsid w:val="00EC5CF7"/>
    <w:rsid w:val="00EC5F13"/>
    <w:rsid w:val="00EC70DB"/>
    <w:rsid w:val="00ED2788"/>
    <w:rsid w:val="00ED4716"/>
    <w:rsid w:val="00ED738B"/>
    <w:rsid w:val="00EE0CDB"/>
    <w:rsid w:val="00EE3DF2"/>
    <w:rsid w:val="00EE6C3D"/>
    <w:rsid w:val="00EE78C7"/>
    <w:rsid w:val="00EF65D6"/>
    <w:rsid w:val="00F012B5"/>
    <w:rsid w:val="00F02B56"/>
    <w:rsid w:val="00F112BA"/>
    <w:rsid w:val="00F11BD3"/>
    <w:rsid w:val="00F15959"/>
    <w:rsid w:val="00F272D5"/>
    <w:rsid w:val="00F27B72"/>
    <w:rsid w:val="00F30F0C"/>
    <w:rsid w:val="00F31626"/>
    <w:rsid w:val="00F350EB"/>
    <w:rsid w:val="00F3524F"/>
    <w:rsid w:val="00F4072A"/>
    <w:rsid w:val="00F41B5C"/>
    <w:rsid w:val="00F41EEB"/>
    <w:rsid w:val="00F459BD"/>
    <w:rsid w:val="00F47382"/>
    <w:rsid w:val="00F54C95"/>
    <w:rsid w:val="00F60969"/>
    <w:rsid w:val="00F630F4"/>
    <w:rsid w:val="00F66BFB"/>
    <w:rsid w:val="00F66C75"/>
    <w:rsid w:val="00F76334"/>
    <w:rsid w:val="00F76E74"/>
    <w:rsid w:val="00F80480"/>
    <w:rsid w:val="00F81F24"/>
    <w:rsid w:val="00F84335"/>
    <w:rsid w:val="00F91E72"/>
    <w:rsid w:val="00F939C6"/>
    <w:rsid w:val="00F95383"/>
    <w:rsid w:val="00FA0619"/>
    <w:rsid w:val="00FA4DFE"/>
    <w:rsid w:val="00FA5A94"/>
    <w:rsid w:val="00FB0A65"/>
    <w:rsid w:val="00FB5F8A"/>
    <w:rsid w:val="00FB76BF"/>
    <w:rsid w:val="00FC0D28"/>
    <w:rsid w:val="00FC28E4"/>
    <w:rsid w:val="00FC70BC"/>
    <w:rsid w:val="00FD17F2"/>
    <w:rsid w:val="00FD18F1"/>
    <w:rsid w:val="00FD424C"/>
    <w:rsid w:val="00FD4CD2"/>
    <w:rsid w:val="00FE3E1F"/>
    <w:rsid w:val="00FE43F0"/>
    <w:rsid w:val="00FE4E28"/>
    <w:rsid w:val="00FE5644"/>
    <w:rsid w:val="00FE73FC"/>
    <w:rsid w:val="00FE74B9"/>
    <w:rsid w:val="00FF56C2"/>
    <w:rsid w:val="00FF61FB"/>
    <w:rsid w:val="01147DB9"/>
    <w:rsid w:val="01163EF2"/>
    <w:rsid w:val="011F5CE9"/>
    <w:rsid w:val="012A41B7"/>
    <w:rsid w:val="01355AF8"/>
    <w:rsid w:val="014B002C"/>
    <w:rsid w:val="01603DDF"/>
    <w:rsid w:val="019F5588"/>
    <w:rsid w:val="01B67022"/>
    <w:rsid w:val="01BA0DE4"/>
    <w:rsid w:val="01C16F3E"/>
    <w:rsid w:val="01EC138B"/>
    <w:rsid w:val="01EC5C90"/>
    <w:rsid w:val="021A1F08"/>
    <w:rsid w:val="02264514"/>
    <w:rsid w:val="022D3E9F"/>
    <w:rsid w:val="024F4F79"/>
    <w:rsid w:val="025D01DF"/>
    <w:rsid w:val="027B3275"/>
    <w:rsid w:val="027F2400"/>
    <w:rsid w:val="028A203B"/>
    <w:rsid w:val="02BC545C"/>
    <w:rsid w:val="02D84BDB"/>
    <w:rsid w:val="02DD34B9"/>
    <w:rsid w:val="02F708CF"/>
    <w:rsid w:val="0338075E"/>
    <w:rsid w:val="03471024"/>
    <w:rsid w:val="034C2303"/>
    <w:rsid w:val="036F5BD7"/>
    <w:rsid w:val="03781487"/>
    <w:rsid w:val="037A5D71"/>
    <w:rsid w:val="03821941"/>
    <w:rsid w:val="03AB5C77"/>
    <w:rsid w:val="03BC7E2E"/>
    <w:rsid w:val="03CA23FD"/>
    <w:rsid w:val="03CB2647"/>
    <w:rsid w:val="04500715"/>
    <w:rsid w:val="045E481C"/>
    <w:rsid w:val="049C2CA0"/>
    <w:rsid w:val="04AA4BA2"/>
    <w:rsid w:val="04FB70A1"/>
    <w:rsid w:val="052E26BB"/>
    <w:rsid w:val="05543769"/>
    <w:rsid w:val="055A1E59"/>
    <w:rsid w:val="05821DCC"/>
    <w:rsid w:val="05A93014"/>
    <w:rsid w:val="05D42D6C"/>
    <w:rsid w:val="05D74583"/>
    <w:rsid w:val="05E126BF"/>
    <w:rsid w:val="05E445DB"/>
    <w:rsid w:val="05F73ED5"/>
    <w:rsid w:val="06123D96"/>
    <w:rsid w:val="06240327"/>
    <w:rsid w:val="062F3136"/>
    <w:rsid w:val="06356A4E"/>
    <w:rsid w:val="063E7C51"/>
    <w:rsid w:val="06752DF4"/>
    <w:rsid w:val="06761547"/>
    <w:rsid w:val="067C7A34"/>
    <w:rsid w:val="06975154"/>
    <w:rsid w:val="06A730B5"/>
    <w:rsid w:val="06AB2B7E"/>
    <w:rsid w:val="06BE2A23"/>
    <w:rsid w:val="06C7626E"/>
    <w:rsid w:val="06D31FA1"/>
    <w:rsid w:val="06D459D8"/>
    <w:rsid w:val="07267B94"/>
    <w:rsid w:val="07501413"/>
    <w:rsid w:val="07792861"/>
    <w:rsid w:val="07AD2C42"/>
    <w:rsid w:val="07BF4B46"/>
    <w:rsid w:val="07C56D29"/>
    <w:rsid w:val="0852066A"/>
    <w:rsid w:val="085B5C18"/>
    <w:rsid w:val="08631DD0"/>
    <w:rsid w:val="088C6ADD"/>
    <w:rsid w:val="08B56357"/>
    <w:rsid w:val="08DF10A6"/>
    <w:rsid w:val="09177D15"/>
    <w:rsid w:val="09211C1A"/>
    <w:rsid w:val="092161CC"/>
    <w:rsid w:val="09402F1C"/>
    <w:rsid w:val="095E074B"/>
    <w:rsid w:val="096C3D63"/>
    <w:rsid w:val="09862847"/>
    <w:rsid w:val="09903DE8"/>
    <w:rsid w:val="09905A49"/>
    <w:rsid w:val="099658EC"/>
    <w:rsid w:val="09AC1BF0"/>
    <w:rsid w:val="09B01232"/>
    <w:rsid w:val="09B71CE2"/>
    <w:rsid w:val="09D14A11"/>
    <w:rsid w:val="09EF61E1"/>
    <w:rsid w:val="0A207940"/>
    <w:rsid w:val="0A2A6607"/>
    <w:rsid w:val="0A402EC1"/>
    <w:rsid w:val="0A6A4724"/>
    <w:rsid w:val="0A736F13"/>
    <w:rsid w:val="0A975257"/>
    <w:rsid w:val="0A9A302F"/>
    <w:rsid w:val="0AA17361"/>
    <w:rsid w:val="0AB3343D"/>
    <w:rsid w:val="0AB91D72"/>
    <w:rsid w:val="0AD147E2"/>
    <w:rsid w:val="0AD6080F"/>
    <w:rsid w:val="0AE405BE"/>
    <w:rsid w:val="0AF263AE"/>
    <w:rsid w:val="0AF56FC7"/>
    <w:rsid w:val="0B142E42"/>
    <w:rsid w:val="0B3D3701"/>
    <w:rsid w:val="0B5730A8"/>
    <w:rsid w:val="0B593115"/>
    <w:rsid w:val="0B6658C1"/>
    <w:rsid w:val="0B667CA1"/>
    <w:rsid w:val="0B766B9C"/>
    <w:rsid w:val="0B786540"/>
    <w:rsid w:val="0B832C04"/>
    <w:rsid w:val="0B955977"/>
    <w:rsid w:val="0B9C69AD"/>
    <w:rsid w:val="0BDB03BB"/>
    <w:rsid w:val="0BE53362"/>
    <w:rsid w:val="0BEB4AE4"/>
    <w:rsid w:val="0C170ACB"/>
    <w:rsid w:val="0C1E0F9C"/>
    <w:rsid w:val="0C356EB6"/>
    <w:rsid w:val="0C420A9A"/>
    <w:rsid w:val="0C504CE7"/>
    <w:rsid w:val="0C934C47"/>
    <w:rsid w:val="0CA0606E"/>
    <w:rsid w:val="0CD404C0"/>
    <w:rsid w:val="0CFA1B57"/>
    <w:rsid w:val="0D025942"/>
    <w:rsid w:val="0D280DA5"/>
    <w:rsid w:val="0D2868EF"/>
    <w:rsid w:val="0D3B6AE4"/>
    <w:rsid w:val="0D572BF0"/>
    <w:rsid w:val="0D5E59FB"/>
    <w:rsid w:val="0D670685"/>
    <w:rsid w:val="0D72249E"/>
    <w:rsid w:val="0D777A7B"/>
    <w:rsid w:val="0D7A1CB6"/>
    <w:rsid w:val="0D7B55D9"/>
    <w:rsid w:val="0D7C2B14"/>
    <w:rsid w:val="0D86005E"/>
    <w:rsid w:val="0DAE6A7F"/>
    <w:rsid w:val="0DB14189"/>
    <w:rsid w:val="0DE14C93"/>
    <w:rsid w:val="0E1B3BAD"/>
    <w:rsid w:val="0E6B1EF5"/>
    <w:rsid w:val="0E904E74"/>
    <w:rsid w:val="0EBF2F75"/>
    <w:rsid w:val="0F0713A8"/>
    <w:rsid w:val="0F1108C5"/>
    <w:rsid w:val="0F194816"/>
    <w:rsid w:val="0F1A1312"/>
    <w:rsid w:val="0F387880"/>
    <w:rsid w:val="0F485498"/>
    <w:rsid w:val="0F5B6D52"/>
    <w:rsid w:val="0F612A44"/>
    <w:rsid w:val="0F761D3F"/>
    <w:rsid w:val="0F7B30B2"/>
    <w:rsid w:val="0FBC1956"/>
    <w:rsid w:val="0FD02800"/>
    <w:rsid w:val="0FE80928"/>
    <w:rsid w:val="0FEF2078"/>
    <w:rsid w:val="102F7D4B"/>
    <w:rsid w:val="1032179D"/>
    <w:rsid w:val="10354452"/>
    <w:rsid w:val="108B3E01"/>
    <w:rsid w:val="10D74CF0"/>
    <w:rsid w:val="10DB3713"/>
    <w:rsid w:val="10DD2676"/>
    <w:rsid w:val="10E11DCC"/>
    <w:rsid w:val="1108757F"/>
    <w:rsid w:val="112A3C86"/>
    <w:rsid w:val="11403CD2"/>
    <w:rsid w:val="11591D65"/>
    <w:rsid w:val="117A0F50"/>
    <w:rsid w:val="117E3ADD"/>
    <w:rsid w:val="117E4B32"/>
    <w:rsid w:val="11A052AA"/>
    <w:rsid w:val="11B03BBE"/>
    <w:rsid w:val="11BE3B4B"/>
    <w:rsid w:val="11CF2425"/>
    <w:rsid w:val="11D15FA9"/>
    <w:rsid w:val="11D44530"/>
    <w:rsid w:val="11DF2FE2"/>
    <w:rsid w:val="11E04FAB"/>
    <w:rsid w:val="11F67302"/>
    <w:rsid w:val="11FD07BD"/>
    <w:rsid w:val="120253DC"/>
    <w:rsid w:val="12314EB1"/>
    <w:rsid w:val="123757F0"/>
    <w:rsid w:val="123B67E5"/>
    <w:rsid w:val="12C46300"/>
    <w:rsid w:val="131D2AF5"/>
    <w:rsid w:val="132D0082"/>
    <w:rsid w:val="13387A94"/>
    <w:rsid w:val="13395501"/>
    <w:rsid w:val="134A301C"/>
    <w:rsid w:val="134D00BA"/>
    <w:rsid w:val="135618E8"/>
    <w:rsid w:val="13782E9E"/>
    <w:rsid w:val="139014D4"/>
    <w:rsid w:val="13A005B0"/>
    <w:rsid w:val="13C31FD4"/>
    <w:rsid w:val="14341CC1"/>
    <w:rsid w:val="143C4A80"/>
    <w:rsid w:val="144C2334"/>
    <w:rsid w:val="145C4F0E"/>
    <w:rsid w:val="145F50DA"/>
    <w:rsid w:val="14B67E65"/>
    <w:rsid w:val="14B90F50"/>
    <w:rsid w:val="14BC3F96"/>
    <w:rsid w:val="14DE2C20"/>
    <w:rsid w:val="14FE7CFC"/>
    <w:rsid w:val="150E2C7F"/>
    <w:rsid w:val="152545D5"/>
    <w:rsid w:val="152E2044"/>
    <w:rsid w:val="15420E95"/>
    <w:rsid w:val="1554628D"/>
    <w:rsid w:val="157053D3"/>
    <w:rsid w:val="15933B4F"/>
    <w:rsid w:val="15B14D7D"/>
    <w:rsid w:val="15DB2E03"/>
    <w:rsid w:val="15DC1E37"/>
    <w:rsid w:val="15DF6BF5"/>
    <w:rsid w:val="15E23E9E"/>
    <w:rsid w:val="160E6E2A"/>
    <w:rsid w:val="162254E9"/>
    <w:rsid w:val="163D4344"/>
    <w:rsid w:val="16521B31"/>
    <w:rsid w:val="16547C2D"/>
    <w:rsid w:val="166416F3"/>
    <w:rsid w:val="1669712D"/>
    <w:rsid w:val="169B56CC"/>
    <w:rsid w:val="16A37F55"/>
    <w:rsid w:val="16F413C5"/>
    <w:rsid w:val="17737293"/>
    <w:rsid w:val="177F789E"/>
    <w:rsid w:val="17A21904"/>
    <w:rsid w:val="17B31280"/>
    <w:rsid w:val="17BB3682"/>
    <w:rsid w:val="17CC5AA5"/>
    <w:rsid w:val="17CD1839"/>
    <w:rsid w:val="17D0041E"/>
    <w:rsid w:val="17E20474"/>
    <w:rsid w:val="180F3170"/>
    <w:rsid w:val="182A5635"/>
    <w:rsid w:val="18444B63"/>
    <w:rsid w:val="184D0921"/>
    <w:rsid w:val="184D1A97"/>
    <w:rsid w:val="18520B06"/>
    <w:rsid w:val="187671D6"/>
    <w:rsid w:val="188E5849"/>
    <w:rsid w:val="189B17E0"/>
    <w:rsid w:val="18BF7F51"/>
    <w:rsid w:val="18C13529"/>
    <w:rsid w:val="19030128"/>
    <w:rsid w:val="195E372A"/>
    <w:rsid w:val="19714832"/>
    <w:rsid w:val="19793D0D"/>
    <w:rsid w:val="19AF309A"/>
    <w:rsid w:val="19F17A6F"/>
    <w:rsid w:val="19F4665F"/>
    <w:rsid w:val="19F976D0"/>
    <w:rsid w:val="1A01797D"/>
    <w:rsid w:val="1A322187"/>
    <w:rsid w:val="1A3425E3"/>
    <w:rsid w:val="1A725B0B"/>
    <w:rsid w:val="1A79435A"/>
    <w:rsid w:val="1AA343BE"/>
    <w:rsid w:val="1ADB144A"/>
    <w:rsid w:val="1AE767DF"/>
    <w:rsid w:val="1AE9486E"/>
    <w:rsid w:val="1B2C2298"/>
    <w:rsid w:val="1B645867"/>
    <w:rsid w:val="1B822DAD"/>
    <w:rsid w:val="1B8A3C0C"/>
    <w:rsid w:val="1B8D18B2"/>
    <w:rsid w:val="1B9E1708"/>
    <w:rsid w:val="1C531599"/>
    <w:rsid w:val="1C564E17"/>
    <w:rsid w:val="1C575541"/>
    <w:rsid w:val="1C6737B0"/>
    <w:rsid w:val="1C9E2A36"/>
    <w:rsid w:val="1CB516CD"/>
    <w:rsid w:val="1CC76C03"/>
    <w:rsid w:val="1CD2635B"/>
    <w:rsid w:val="1CEA7266"/>
    <w:rsid w:val="1CF13681"/>
    <w:rsid w:val="1D366654"/>
    <w:rsid w:val="1D436612"/>
    <w:rsid w:val="1D447672"/>
    <w:rsid w:val="1D554B87"/>
    <w:rsid w:val="1D6D4FBA"/>
    <w:rsid w:val="1D7522E4"/>
    <w:rsid w:val="1D7F2BF3"/>
    <w:rsid w:val="1DA07199"/>
    <w:rsid w:val="1E0B605A"/>
    <w:rsid w:val="1E0E1AE0"/>
    <w:rsid w:val="1E0F45C9"/>
    <w:rsid w:val="1E1878BA"/>
    <w:rsid w:val="1E6D7A16"/>
    <w:rsid w:val="1E8404E1"/>
    <w:rsid w:val="1E993E53"/>
    <w:rsid w:val="1EC701A5"/>
    <w:rsid w:val="1ECD6CBC"/>
    <w:rsid w:val="1EDF1530"/>
    <w:rsid w:val="1F0952C0"/>
    <w:rsid w:val="1F0D587D"/>
    <w:rsid w:val="1F2C6132"/>
    <w:rsid w:val="1F644AAB"/>
    <w:rsid w:val="1F746526"/>
    <w:rsid w:val="1F7D1C9D"/>
    <w:rsid w:val="1FEA7317"/>
    <w:rsid w:val="2002714D"/>
    <w:rsid w:val="200561DE"/>
    <w:rsid w:val="201D10CA"/>
    <w:rsid w:val="20833828"/>
    <w:rsid w:val="20A26F98"/>
    <w:rsid w:val="20D61800"/>
    <w:rsid w:val="210C06A7"/>
    <w:rsid w:val="211C505F"/>
    <w:rsid w:val="212521D4"/>
    <w:rsid w:val="218421BF"/>
    <w:rsid w:val="218B501C"/>
    <w:rsid w:val="218E5C17"/>
    <w:rsid w:val="21B34EDB"/>
    <w:rsid w:val="21D12AD3"/>
    <w:rsid w:val="21EA27B2"/>
    <w:rsid w:val="220B5B68"/>
    <w:rsid w:val="223E13AD"/>
    <w:rsid w:val="22440F49"/>
    <w:rsid w:val="2274267B"/>
    <w:rsid w:val="227B18F4"/>
    <w:rsid w:val="227D3E78"/>
    <w:rsid w:val="22971313"/>
    <w:rsid w:val="22C54B1E"/>
    <w:rsid w:val="22DC655D"/>
    <w:rsid w:val="22DE4344"/>
    <w:rsid w:val="22FD68C3"/>
    <w:rsid w:val="22FD70B5"/>
    <w:rsid w:val="2303645F"/>
    <w:rsid w:val="238B1EDE"/>
    <w:rsid w:val="23956AB1"/>
    <w:rsid w:val="23B06D20"/>
    <w:rsid w:val="23B573C5"/>
    <w:rsid w:val="23D841B5"/>
    <w:rsid w:val="24117F6F"/>
    <w:rsid w:val="24205258"/>
    <w:rsid w:val="246550FA"/>
    <w:rsid w:val="2494099B"/>
    <w:rsid w:val="24954180"/>
    <w:rsid w:val="24CD60B1"/>
    <w:rsid w:val="24D72AC2"/>
    <w:rsid w:val="24DB482D"/>
    <w:rsid w:val="25355965"/>
    <w:rsid w:val="253B42DC"/>
    <w:rsid w:val="25494251"/>
    <w:rsid w:val="2582449B"/>
    <w:rsid w:val="25C03432"/>
    <w:rsid w:val="25C9271C"/>
    <w:rsid w:val="25CB42EE"/>
    <w:rsid w:val="25E7478F"/>
    <w:rsid w:val="261A696E"/>
    <w:rsid w:val="261E3AAC"/>
    <w:rsid w:val="26432E24"/>
    <w:rsid w:val="26663E66"/>
    <w:rsid w:val="266675FC"/>
    <w:rsid w:val="267C4551"/>
    <w:rsid w:val="267C4777"/>
    <w:rsid w:val="267D35CF"/>
    <w:rsid w:val="269E1ADF"/>
    <w:rsid w:val="26B57DAF"/>
    <w:rsid w:val="26DC27CF"/>
    <w:rsid w:val="26EC5D68"/>
    <w:rsid w:val="270E7034"/>
    <w:rsid w:val="271020AB"/>
    <w:rsid w:val="27367799"/>
    <w:rsid w:val="2750049C"/>
    <w:rsid w:val="276941B6"/>
    <w:rsid w:val="279102E9"/>
    <w:rsid w:val="279C4F54"/>
    <w:rsid w:val="27B177BC"/>
    <w:rsid w:val="280E79AD"/>
    <w:rsid w:val="28725781"/>
    <w:rsid w:val="28837103"/>
    <w:rsid w:val="288B3104"/>
    <w:rsid w:val="28EE6EF2"/>
    <w:rsid w:val="28FC7CFA"/>
    <w:rsid w:val="29182E7A"/>
    <w:rsid w:val="292D4B37"/>
    <w:rsid w:val="29533F58"/>
    <w:rsid w:val="298E22D7"/>
    <w:rsid w:val="29A621BC"/>
    <w:rsid w:val="29DB13D9"/>
    <w:rsid w:val="2A3732D1"/>
    <w:rsid w:val="2A44220C"/>
    <w:rsid w:val="2A624E7E"/>
    <w:rsid w:val="2A7164A8"/>
    <w:rsid w:val="2A7D08BC"/>
    <w:rsid w:val="2A8676A8"/>
    <w:rsid w:val="2A954488"/>
    <w:rsid w:val="2AD10113"/>
    <w:rsid w:val="2ADC2898"/>
    <w:rsid w:val="2ADD12BA"/>
    <w:rsid w:val="2AEF6884"/>
    <w:rsid w:val="2AF1259E"/>
    <w:rsid w:val="2AFA72B5"/>
    <w:rsid w:val="2B2C7322"/>
    <w:rsid w:val="2B474672"/>
    <w:rsid w:val="2B527607"/>
    <w:rsid w:val="2B5559FB"/>
    <w:rsid w:val="2B5C5632"/>
    <w:rsid w:val="2B687C48"/>
    <w:rsid w:val="2BAB0C35"/>
    <w:rsid w:val="2BE54085"/>
    <w:rsid w:val="2BE861D8"/>
    <w:rsid w:val="2BFE5F28"/>
    <w:rsid w:val="2C1170EF"/>
    <w:rsid w:val="2C1C5818"/>
    <w:rsid w:val="2C735E31"/>
    <w:rsid w:val="2C9E5BB3"/>
    <w:rsid w:val="2CB23688"/>
    <w:rsid w:val="2CB4163C"/>
    <w:rsid w:val="2CBB5B9F"/>
    <w:rsid w:val="2CDD4277"/>
    <w:rsid w:val="2CEC20B9"/>
    <w:rsid w:val="2CFB1C5D"/>
    <w:rsid w:val="2D683360"/>
    <w:rsid w:val="2D7411FB"/>
    <w:rsid w:val="2DA14B48"/>
    <w:rsid w:val="2DB54E3B"/>
    <w:rsid w:val="2E0A6195"/>
    <w:rsid w:val="2E3A4BCA"/>
    <w:rsid w:val="2E6A69DD"/>
    <w:rsid w:val="2E725668"/>
    <w:rsid w:val="2E946DA6"/>
    <w:rsid w:val="2EBC0A63"/>
    <w:rsid w:val="2F043531"/>
    <w:rsid w:val="2F0A5BCD"/>
    <w:rsid w:val="2F0E7FC2"/>
    <w:rsid w:val="2F585CBF"/>
    <w:rsid w:val="2FAE12DD"/>
    <w:rsid w:val="30292241"/>
    <w:rsid w:val="302B4331"/>
    <w:rsid w:val="303413F0"/>
    <w:rsid w:val="303F6925"/>
    <w:rsid w:val="30595ABF"/>
    <w:rsid w:val="305D424B"/>
    <w:rsid w:val="30891CEE"/>
    <w:rsid w:val="30B757FF"/>
    <w:rsid w:val="30CE6005"/>
    <w:rsid w:val="315831D8"/>
    <w:rsid w:val="315E381C"/>
    <w:rsid w:val="31B311E1"/>
    <w:rsid w:val="31EB3D9B"/>
    <w:rsid w:val="31F857BE"/>
    <w:rsid w:val="32191182"/>
    <w:rsid w:val="326C370E"/>
    <w:rsid w:val="328A09CD"/>
    <w:rsid w:val="32B54D5A"/>
    <w:rsid w:val="32C818D1"/>
    <w:rsid w:val="32CB39B6"/>
    <w:rsid w:val="32CC23B6"/>
    <w:rsid w:val="32E139B5"/>
    <w:rsid w:val="33301D0B"/>
    <w:rsid w:val="33325446"/>
    <w:rsid w:val="333C7035"/>
    <w:rsid w:val="334270E2"/>
    <w:rsid w:val="33621BA3"/>
    <w:rsid w:val="338048C2"/>
    <w:rsid w:val="339A2EEE"/>
    <w:rsid w:val="33DA7ED3"/>
    <w:rsid w:val="33F73CD2"/>
    <w:rsid w:val="34056789"/>
    <w:rsid w:val="340F070D"/>
    <w:rsid w:val="341A770A"/>
    <w:rsid w:val="345871EF"/>
    <w:rsid w:val="345D1BE2"/>
    <w:rsid w:val="34963694"/>
    <w:rsid w:val="34BB156D"/>
    <w:rsid w:val="34BC27B3"/>
    <w:rsid w:val="351437EA"/>
    <w:rsid w:val="353166C4"/>
    <w:rsid w:val="3553070C"/>
    <w:rsid w:val="356B1E60"/>
    <w:rsid w:val="35824ADF"/>
    <w:rsid w:val="358A21E1"/>
    <w:rsid w:val="358F29C1"/>
    <w:rsid w:val="35E96A73"/>
    <w:rsid w:val="36007896"/>
    <w:rsid w:val="360F0A4C"/>
    <w:rsid w:val="361C16DD"/>
    <w:rsid w:val="363122F8"/>
    <w:rsid w:val="3657229F"/>
    <w:rsid w:val="367E4742"/>
    <w:rsid w:val="36803793"/>
    <w:rsid w:val="36810143"/>
    <w:rsid w:val="3698754F"/>
    <w:rsid w:val="36A05AF3"/>
    <w:rsid w:val="36D61039"/>
    <w:rsid w:val="36F1519A"/>
    <w:rsid w:val="36FE3AC8"/>
    <w:rsid w:val="3707206A"/>
    <w:rsid w:val="370E66EA"/>
    <w:rsid w:val="37455250"/>
    <w:rsid w:val="376E142A"/>
    <w:rsid w:val="377F1F9A"/>
    <w:rsid w:val="38074DA9"/>
    <w:rsid w:val="381229A7"/>
    <w:rsid w:val="381C477B"/>
    <w:rsid w:val="38405B71"/>
    <w:rsid w:val="38411613"/>
    <w:rsid w:val="38476E6D"/>
    <w:rsid w:val="3869298E"/>
    <w:rsid w:val="3893075E"/>
    <w:rsid w:val="38AA441B"/>
    <w:rsid w:val="38BA1919"/>
    <w:rsid w:val="38CB6CD0"/>
    <w:rsid w:val="38DA1025"/>
    <w:rsid w:val="38F117B0"/>
    <w:rsid w:val="38F11A3C"/>
    <w:rsid w:val="391D03B1"/>
    <w:rsid w:val="392755E6"/>
    <w:rsid w:val="39457128"/>
    <w:rsid w:val="396B7829"/>
    <w:rsid w:val="39932F76"/>
    <w:rsid w:val="39947BDB"/>
    <w:rsid w:val="39A77EFC"/>
    <w:rsid w:val="39D94E55"/>
    <w:rsid w:val="39EF76C7"/>
    <w:rsid w:val="39F234CA"/>
    <w:rsid w:val="39FF4F89"/>
    <w:rsid w:val="3A136D2D"/>
    <w:rsid w:val="3A3A15F6"/>
    <w:rsid w:val="3A4C7F64"/>
    <w:rsid w:val="3A5152BB"/>
    <w:rsid w:val="3A544382"/>
    <w:rsid w:val="3A700A33"/>
    <w:rsid w:val="3A760716"/>
    <w:rsid w:val="3A7A0DE6"/>
    <w:rsid w:val="3ABE56C2"/>
    <w:rsid w:val="3AD36C4E"/>
    <w:rsid w:val="3ADC741E"/>
    <w:rsid w:val="3AED2885"/>
    <w:rsid w:val="3AFA1956"/>
    <w:rsid w:val="3B2001CA"/>
    <w:rsid w:val="3B6F4865"/>
    <w:rsid w:val="3B923A3B"/>
    <w:rsid w:val="3BCD6245"/>
    <w:rsid w:val="3BEB30EB"/>
    <w:rsid w:val="3C263B3A"/>
    <w:rsid w:val="3C2F60C0"/>
    <w:rsid w:val="3C3966D0"/>
    <w:rsid w:val="3C495AC4"/>
    <w:rsid w:val="3C4E19C9"/>
    <w:rsid w:val="3C5C5193"/>
    <w:rsid w:val="3CA967CD"/>
    <w:rsid w:val="3CAD77D4"/>
    <w:rsid w:val="3CAE1641"/>
    <w:rsid w:val="3CB93A3A"/>
    <w:rsid w:val="3CE020E0"/>
    <w:rsid w:val="3CE80DB6"/>
    <w:rsid w:val="3CFA5502"/>
    <w:rsid w:val="3D12567F"/>
    <w:rsid w:val="3D247E32"/>
    <w:rsid w:val="3D4C0435"/>
    <w:rsid w:val="3D5F5F36"/>
    <w:rsid w:val="3D712BD2"/>
    <w:rsid w:val="3D7D2F4E"/>
    <w:rsid w:val="3D800D90"/>
    <w:rsid w:val="3D8E4165"/>
    <w:rsid w:val="3DA870FF"/>
    <w:rsid w:val="3DDE14CB"/>
    <w:rsid w:val="3DE0031A"/>
    <w:rsid w:val="3DE606F6"/>
    <w:rsid w:val="3DF12542"/>
    <w:rsid w:val="3E1426DE"/>
    <w:rsid w:val="3E1779E3"/>
    <w:rsid w:val="3E1909A6"/>
    <w:rsid w:val="3E645EF4"/>
    <w:rsid w:val="3E724A71"/>
    <w:rsid w:val="3E7C50CE"/>
    <w:rsid w:val="3E864DF0"/>
    <w:rsid w:val="3E9915BD"/>
    <w:rsid w:val="3EC4045F"/>
    <w:rsid w:val="3ED508CC"/>
    <w:rsid w:val="3ED612A7"/>
    <w:rsid w:val="3EE41839"/>
    <w:rsid w:val="3EE90F5A"/>
    <w:rsid w:val="3EF45400"/>
    <w:rsid w:val="3F094C0E"/>
    <w:rsid w:val="3F0D489F"/>
    <w:rsid w:val="3F1370F3"/>
    <w:rsid w:val="3F2769DA"/>
    <w:rsid w:val="3F3872F1"/>
    <w:rsid w:val="3F5448CF"/>
    <w:rsid w:val="3F5D4317"/>
    <w:rsid w:val="3F5E6C64"/>
    <w:rsid w:val="3F632CDC"/>
    <w:rsid w:val="3F876EDB"/>
    <w:rsid w:val="3FBF469C"/>
    <w:rsid w:val="3FF3118E"/>
    <w:rsid w:val="400A53E0"/>
    <w:rsid w:val="4010479C"/>
    <w:rsid w:val="40171655"/>
    <w:rsid w:val="401C18F7"/>
    <w:rsid w:val="40210A59"/>
    <w:rsid w:val="402E712D"/>
    <w:rsid w:val="402F039C"/>
    <w:rsid w:val="402F78D1"/>
    <w:rsid w:val="40A52205"/>
    <w:rsid w:val="40AA2EA7"/>
    <w:rsid w:val="40B054D1"/>
    <w:rsid w:val="40B33379"/>
    <w:rsid w:val="40F3447A"/>
    <w:rsid w:val="412068AA"/>
    <w:rsid w:val="4141483B"/>
    <w:rsid w:val="4162638F"/>
    <w:rsid w:val="41680A16"/>
    <w:rsid w:val="41900024"/>
    <w:rsid w:val="419F18EC"/>
    <w:rsid w:val="41A921DB"/>
    <w:rsid w:val="41BC5920"/>
    <w:rsid w:val="41DA4D98"/>
    <w:rsid w:val="41E17F35"/>
    <w:rsid w:val="41F45941"/>
    <w:rsid w:val="422B6B5E"/>
    <w:rsid w:val="42A02124"/>
    <w:rsid w:val="42DF6DDA"/>
    <w:rsid w:val="42E54185"/>
    <w:rsid w:val="437177FF"/>
    <w:rsid w:val="4389220C"/>
    <w:rsid w:val="439B1616"/>
    <w:rsid w:val="43CA50D8"/>
    <w:rsid w:val="43E26CF4"/>
    <w:rsid w:val="43F1014A"/>
    <w:rsid w:val="43F43214"/>
    <w:rsid w:val="43F94C9A"/>
    <w:rsid w:val="444C166B"/>
    <w:rsid w:val="44871CE2"/>
    <w:rsid w:val="44944E08"/>
    <w:rsid w:val="44C75C47"/>
    <w:rsid w:val="44F403E0"/>
    <w:rsid w:val="45083EEC"/>
    <w:rsid w:val="450F218D"/>
    <w:rsid w:val="45492D31"/>
    <w:rsid w:val="458E64AD"/>
    <w:rsid w:val="45DD3D4D"/>
    <w:rsid w:val="45E8139F"/>
    <w:rsid w:val="462E6F30"/>
    <w:rsid w:val="464526B8"/>
    <w:rsid w:val="466E6027"/>
    <w:rsid w:val="46771FCB"/>
    <w:rsid w:val="46ED0B89"/>
    <w:rsid w:val="47033023"/>
    <w:rsid w:val="47293CD0"/>
    <w:rsid w:val="47327DE3"/>
    <w:rsid w:val="474B7BF9"/>
    <w:rsid w:val="4752243C"/>
    <w:rsid w:val="478C01D9"/>
    <w:rsid w:val="47B45E32"/>
    <w:rsid w:val="47C001E8"/>
    <w:rsid w:val="47D03E85"/>
    <w:rsid w:val="47F75622"/>
    <w:rsid w:val="47F97115"/>
    <w:rsid w:val="48013F90"/>
    <w:rsid w:val="48397D91"/>
    <w:rsid w:val="484363F9"/>
    <w:rsid w:val="488A308D"/>
    <w:rsid w:val="48D77AFA"/>
    <w:rsid w:val="48E94D66"/>
    <w:rsid w:val="49250384"/>
    <w:rsid w:val="494B3DB4"/>
    <w:rsid w:val="49524B74"/>
    <w:rsid w:val="496B00B8"/>
    <w:rsid w:val="49743A9C"/>
    <w:rsid w:val="497F25FC"/>
    <w:rsid w:val="49943DBC"/>
    <w:rsid w:val="49A97E49"/>
    <w:rsid w:val="49D27391"/>
    <w:rsid w:val="4A29205C"/>
    <w:rsid w:val="4A29440E"/>
    <w:rsid w:val="4A5A221F"/>
    <w:rsid w:val="4A654893"/>
    <w:rsid w:val="4A9A3D31"/>
    <w:rsid w:val="4AA04093"/>
    <w:rsid w:val="4ACD1FC9"/>
    <w:rsid w:val="4AEC31BB"/>
    <w:rsid w:val="4B0A38BD"/>
    <w:rsid w:val="4B0B0E99"/>
    <w:rsid w:val="4B1E5B10"/>
    <w:rsid w:val="4B2A0658"/>
    <w:rsid w:val="4B302C08"/>
    <w:rsid w:val="4B46598C"/>
    <w:rsid w:val="4B4A3DEA"/>
    <w:rsid w:val="4B7E37B3"/>
    <w:rsid w:val="4BD221DC"/>
    <w:rsid w:val="4BD43C56"/>
    <w:rsid w:val="4BD60FF4"/>
    <w:rsid w:val="4BF24345"/>
    <w:rsid w:val="4BF44BFE"/>
    <w:rsid w:val="4C1532E2"/>
    <w:rsid w:val="4C2B5519"/>
    <w:rsid w:val="4C465500"/>
    <w:rsid w:val="4CAD1C7B"/>
    <w:rsid w:val="4CB842B5"/>
    <w:rsid w:val="4CEB2E60"/>
    <w:rsid w:val="4D2E0347"/>
    <w:rsid w:val="4D334A54"/>
    <w:rsid w:val="4D5233AD"/>
    <w:rsid w:val="4D6B37C4"/>
    <w:rsid w:val="4D7A2156"/>
    <w:rsid w:val="4D7D4F65"/>
    <w:rsid w:val="4DBE6AA4"/>
    <w:rsid w:val="4DC31336"/>
    <w:rsid w:val="4DC87F2A"/>
    <w:rsid w:val="4DFB72EE"/>
    <w:rsid w:val="4E073C1E"/>
    <w:rsid w:val="4E133368"/>
    <w:rsid w:val="4E421CE7"/>
    <w:rsid w:val="4E592F01"/>
    <w:rsid w:val="4E670DAE"/>
    <w:rsid w:val="4E6C3038"/>
    <w:rsid w:val="4E6D04C6"/>
    <w:rsid w:val="4E801DBD"/>
    <w:rsid w:val="4E832CAF"/>
    <w:rsid w:val="4EA95132"/>
    <w:rsid w:val="4EB64F7E"/>
    <w:rsid w:val="4EB67A55"/>
    <w:rsid w:val="4EBE1DD5"/>
    <w:rsid w:val="4ED47CF0"/>
    <w:rsid w:val="4EF609E4"/>
    <w:rsid w:val="4EFA7E3C"/>
    <w:rsid w:val="4EFE1369"/>
    <w:rsid w:val="4F01352B"/>
    <w:rsid w:val="4F24429B"/>
    <w:rsid w:val="4F514CEF"/>
    <w:rsid w:val="4F6A7854"/>
    <w:rsid w:val="4F7534EA"/>
    <w:rsid w:val="4F8A23AC"/>
    <w:rsid w:val="4FAF15B3"/>
    <w:rsid w:val="4FE707DE"/>
    <w:rsid w:val="5002506F"/>
    <w:rsid w:val="50133D7A"/>
    <w:rsid w:val="5022516A"/>
    <w:rsid w:val="50572EDD"/>
    <w:rsid w:val="50591483"/>
    <w:rsid w:val="505C52E6"/>
    <w:rsid w:val="50675956"/>
    <w:rsid w:val="50746F4E"/>
    <w:rsid w:val="508563E6"/>
    <w:rsid w:val="50992532"/>
    <w:rsid w:val="50AA5AE5"/>
    <w:rsid w:val="50B363B1"/>
    <w:rsid w:val="50B74130"/>
    <w:rsid w:val="50DA7A03"/>
    <w:rsid w:val="50F45530"/>
    <w:rsid w:val="513368ED"/>
    <w:rsid w:val="51BE6644"/>
    <w:rsid w:val="51CD317E"/>
    <w:rsid w:val="52062394"/>
    <w:rsid w:val="521560B8"/>
    <w:rsid w:val="523F5CD8"/>
    <w:rsid w:val="52565243"/>
    <w:rsid w:val="52610BCA"/>
    <w:rsid w:val="526800B3"/>
    <w:rsid w:val="52842DB5"/>
    <w:rsid w:val="52892AF8"/>
    <w:rsid w:val="528F5D44"/>
    <w:rsid w:val="52955BD3"/>
    <w:rsid w:val="529735AB"/>
    <w:rsid w:val="52B94531"/>
    <w:rsid w:val="52E50875"/>
    <w:rsid w:val="52F5400D"/>
    <w:rsid w:val="52FB2723"/>
    <w:rsid w:val="531E1CFB"/>
    <w:rsid w:val="533818AC"/>
    <w:rsid w:val="53477E04"/>
    <w:rsid w:val="53670037"/>
    <w:rsid w:val="53843AB3"/>
    <w:rsid w:val="53A914F4"/>
    <w:rsid w:val="53AF28DA"/>
    <w:rsid w:val="53BE15CA"/>
    <w:rsid w:val="54441F3A"/>
    <w:rsid w:val="544620B2"/>
    <w:rsid w:val="545F71E0"/>
    <w:rsid w:val="546D3B74"/>
    <w:rsid w:val="54963F51"/>
    <w:rsid w:val="54B371CE"/>
    <w:rsid w:val="54B4324A"/>
    <w:rsid w:val="54C0579B"/>
    <w:rsid w:val="54D0247E"/>
    <w:rsid w:val="54D86FEF"/>
    <w:rsid w:val="55096BE1"/>
    <w:rsid w:val="550B0E7A"/>
    <w:rsid w:val="55277E07"/>
    <w:rsid w:val="556D521A"/>
    <w:rsid w:val="55824A1A"/>
    <w:rsid w:val="558670C4"/>
    <w:rsid w:val="558A117E"/>
    <w:rsid w:val="55F674F9"/>
    <w:rsid w:val="561D0D8B"/>
    <w:rsid w:val="565B27BC"/>
    <w:rsid w:val="56620818"/>
    <w:rsid w:val="566B358D"/>
    <w:rsid w:val="56907281"/>
    <w:rsid w:val="56B12B6E"/>
    <w:rsid w:val="56CB346A"/>
    <w:rsid w:val="56F024CA"/>
    <w:rsid w:val="570D6E61"/>
    <w:rsid w:val="571F6D7F"/>
    <w:rsid w:val="57543EBA"/>
    <w:rsid w:val="5765232A"/>
    <w:rsid w:val="57706214"/>
    <w:rsid w:val="57785F01"/>
    <w:rsid w:val="57804C27"/>
    <w:rsid w:val="57861FBC"/>
    <w:rsid w:val="57B11C05"/>
    <w:rsid w:val="57CC4D11"/>
    <w:rsid w:val="57CD51C1"/>
    <w:rsid w:val="57CE2EE2"/>
    <w:rsid w:val="57D269FC"/>
    <w:rsid w:val="57E9305E"/>
    <w:rsid w:val="57F966E2"/>
    <w:rsid w:val="57FA79E6"/>
    <w:rsid w:val="580C7EA0"/>
    <w:rsid w:val="58573942"/>
    <w:rsid w:val="58706E56"/>
    <w:rsid w:val="58717C7C"/>
    <w:rsid w:val="58A3649A"/>
    <w:rsid w:val="58F53DAA"/>
    <w:rsid w:val="591602F5"/>
    <w:rsid w:val="597660E9"/>
    <w:rsid w:val="59797C7A"/>
    <w:rsid w:val="598C7125"/>
    <w:rsid w:val="599046C9"/>
    <w:rsid w:val="59920D11"/>
    <w:rsid w:val="599C3E4C"/>
    <w:rsid w:val="59C2339F"/>
    <w:rsid w:val="59EA2642"/>
    <w:rsid w:val="5A0563BF"/>
    <w:rsid w:val="5A084120"/>
    <w:rsid w:val="5A0B1278"/>
    <w:rsid w:val="5A1124D1"/>
    <w:rsid w:val="5A2408B5"/>
    <w:rsid w:val="5A3155E3"/>
    <w:rsid w:val="5A3D6C9C"/>
    <w:rsid w:val="5A516CE5"/>
    <w:rsid w:val="5A842526"/>
    <w:rsid w:val="5A9368CB"/>
    <w:rsid w:val="5AAC7D22"/>
    <w:rsid w:val="5AB7439D"/>
    <w:rsid w:val="5AC24232"/>
    <w:rsid w:val="5AC6249A"/>
    <w:rsid w:val="5ACD0533"/>
    <w:rsid w:val="5AE0591F"/>
    <w:rsid w:val="5AEB4DA1"/>
    <w:rsid w:val="5B0169D9"/>
    <w:rsid w:val="5B024CDF"/>
    <w:rsid w:val="5B0C186B"/>
    <w:rsid w:val="5B153E64"/>
    <w:rsid w:val="5B224C32"/>
    <w:rsid w:val="5B341DB6"/>
    <w:rsid w:val="5B6C723F"/>
    <w:rsid w:val="5B75441A"/>
    <w:rsid w:val="5BA51985"/>
    <w:rsid w:val="5BBA76F2"/>
    <w:rsid w:val="5BBE7A20"/>
    <w:rsid w:val="5BFA4673"/>
    <w:rsid w:val="5CC34330"/>
    <w:rsid w:val="5D040AC1"/>
    <w:rsid w:val="5D1C12D3"/>
    <w:rsid w:val="5D1F41A9"/>
    <w:rsid w:val="5D2734D0"/>
    <w:rsid w:val="5DBB0301"/>
    <w:rsid w:val="5DE05A4E"/>
    <w:rsid w:val="5DE10E08"/>
    <w:rsid w:val="5E17056B"/>
    <w:rsid w:val="5E2E3769"/>
    <w:rsid w:val="5E321792"/>
    <w:rsid w:val="5E694018"/>
    <w:rsid w:val="5EA45EEB"/>
    <w:rsid w:val="5EAC65F4"/>
    <w:rsid w:val="5EBB2E95"/>
    <w:rsid w:val="5ECF78D3"/>
    <w:rsid w:val="5F245269"/>
    <w:rsid w:val="5F27020F"/>
    <w:rsid w:val="5F375B5A"/>
    <w:rsid w:val="5F693096"/>
    <w:rsid w:val="5F6A5D51"/>
    <w:rsid w:val="5F750155"/>
    <w:rsid w:val="5FA553BF"/>
    <w:rsid w:val="5FCB4C3C"/>
    <w:rsid w:val="5FD54FF6"/>
    <w:rsid w:val="5FD858CD"/>
    <w:rsid w:val="5FEA016C"/>
    <w:rsid w:val="5FF4256D"/>
    <w:rsid w:val="5FF73BFE"/>
    <w:rsid w:val="5FF91E65"/>
    <w:rsid w:val="604B322D"/>
    <w:rsid w:val="60565691"/>
    <w:rsid w:val="60674D05"/>
    <w:rsid w:val="606C6714"/>
    <w:rsid w:val="60895F92"/>
    <w:rsid w:val="6089775A"/>
    <w:rsid w:val="609B0FC5"/>
    <w:rsid w:val="60A61B66"/>
    <w:rsid w:val="60BE0946"/>
    <w:rsid w:val="60F4061E"/>
    <w:rsid w:val="6146613F"/>
    <w:rsid w:val="61750E7C"/>
    <w:rsid w:val="61AE0556"/>
    <w:rsid w:val="61D65051"/>
    <w:rsid w:val="61DA2346"/>
    <w:rsid w:val="61DB51C6"/>
    <w:rsid w:val="61DB7D06"/>
    <w:rsid w:val="61F83197"/>
    <w:rsid w:val="61FA5685"/>
    <w:rsid w:val="6201290B"/>
    <w:rsid w:val="622F45F0"/>
    <w:rsid w:val="624E6507"/>
    <w:rsid w:val="62743F92"/>
    <w:rsid w:val="628A7557"/>
    <w:rsid w:val="62A52B2F"/>
    <w:rsid w:val="62A80097"/>
    <w:rsid w:val="62E40826"/>
    <w:rsid w:val="62E66850"/>
    <w:rsid w:val="63010E82"/>
    <w:rsid w:val="632B426E"/>
    <w:rsid w:val="63805DFE"/>
    <w:rsid w:val="638A4B4C"/>
    <w:rsid w:val="63954AD3"/>
    <w:rsid w:val="639C7C9B"/>
    <w:rsid w:val="63DA3822"/>
    <w:rsid w:val="641A6652"/>
    <w:rsid w:val="642E427F"/>
    <w:rsid w:val="64302FD8"/>
    <w:rsid w:val="64AC14CB"/>
    <w:rsid w:val="64AF3B16"/>
    <w:rsid w:val="64B3713E"/>
    <w:rsid w:val="64CF4397"/>
    <w:rsid w:val="64DD3271"/>
    <w:rsid w:val="64E8276D"/>
    <w:rsid w:val="64F45CF3"/>
    <w:rsid w:val="65072A69"/>
    <w:rsid w:val="651B2273"/>
    <w:rsid w:val="651C36FD"/>
    <w:rsid w:val="652A2D0A"/>
    <w:rsid w:val="65374A9B"/>
    <w:rsid w:val="654A1917"/>
    <w:rsid w:val="654E7491"/>
    <w:rsid w:val="655F6388"/>
    <w:rsid w:val="657371FF"/>
    <w:rsid w:val="65772A8A"/>
    <w:rsid w:val="65A7500E"/>
    <w:rsid w:val="65A815A6"/>
    <w:rsid w:val="65C25F4B"/>
    <w:rsid w:val="65CB7CED"/>
    <w:rsid w:val="65D95CE4"/>
    <w:rsid w:val="65EC1421"/>
    <w:rsid w:val="66027AC3"/>
    <w:rsid w:val="660602E2"/>
    <w:rsid w:val="660719E4"/>
    <w:rsid w:val="66450B9C"/>
    <w:rsid w:val="66591517"/>
    <w:rsid w:val="66A575AA"/>
    <w:rsid w:val="66B87717"/>
    <w:rsid w:val="66BA7C13"/>
    <w:rsid w:val="66CC4C2E"/>
    <w:rsid w:val="66D056C8"/>
    <w:rsid w:val="66DA7A95"/>
    <w:rsid w:val="66E3751A"/>
    <w:rsid w:val="66F905DF"/>
    <w:rsid w:val="6721711A"/>
    <w:rsid w:val="675039C2"/>
    <w:rsid w:val="67647876"/>
    <w:rsid w:val="67706CC4"/>
    <w:rsid w:val="67814244"/>
    <w:rsid w:val="678158DF"/>
    <w:rsid w:val="679762B9"/>
    <w:rsid w:val="67B81CFC"/>
    <w:rsid w:val="67DE5B2C"/>
    <w:rsid w:val="68146D25"/>
    <w:rsid w:val="68502822"/>
    <w:rsid w:val="68591D3F"/>
    <w:rsid w:val="68655784"/>
    <w:rsid w:val="68720F3F"/>
    <w:rsid w:val="68785A4D"/>
    <w:rsid w:val="68837636"/>
    <w:rsid w:val="68883E45"/>
    <w:rsid w:val="688E07A3"/>
    <w:rsid w:val="689107D6"/>
    <w:rsid w:val="689F0FF2"/>
    <w:rsid w:val="68DD7310"/>
    <w:rsid w:val="68E4205F"/>
    <w:rsid w:val="69261236"/>
    <w:rsid w:val="692C57A6"/>
    <w:rsid w:val="694E61B8"/>
    <w:rsid w:val="69514613"/>
    <w:rsid w:val="6953758B"/>
    <w:rsid w:val="696562F8"/>
    <w:rsid w:val="699B2806"/>
    <w:rsid w:val="69D16377"/>
    <w:rsid w:val="69DF2899"/>
    <w:rsid w:val="69FD3A6F"/>
    <w:rsid w:val="6A0206A4"/>
    <w:rsid w:val="6A3F1E00"/>
    <w:rsid w:val="6A8C4409"/>
    <w:rsid w:val="6A91716C"/>
    <w:rsid w:val="6ABE6CCF"/>
    <w:rsid w:val="6ADA4E95"/>
    <w:rsid w:val="6AED6073"/>
    <w:rsid w:val="6B0F4CC8"/>
    <w:rsid w:val="6B2C329C"/>
    <w:rsid w:val="6B3D452E"/>
    <w:rsid w:val="6B562DA7"/>
    <w:rsid w:val="6BB33B7E"/>
    <w:rsid w:val="6BBA4DCC"/>
    <w:rsid w:val="6BD35D87"/>
    <w:rsid w:val="6C012D76"/>
    <w:rsid w:val="6C023E73"/>
    <w:rsid w:val="6C1E4CA1"/>
    <w:rsid w:val="6C4045F7"/>
    <w:rsid w:val="6C441000"/>
    <w:rsid w:val="6C5B7FA7"/>
    <w:rsid w:val="6C7A28B1"/>
    <w:rsid w:val="6C9B563C"/>
    <w:rsid w:val="6CA01FE0"/>
    <w:rsid w:val="6CAD66E0"/>
    <w:rsid w:val="6CAD7412"/>
    <w:rsid w:val="6CAF719D"/>
    <w:rsid w:val="6CBE1E0A"/>
    <w:rsid w:val="6CC41F07"/>
    <w:rsid w:val="6CE30801"/>
    <w:rsid w:val="6D0C4510"/>
    <w:rsid w:val="6D4A2EBC"/>
    <w:rsid w:val="6D5C46F9"/>
    <w:rsid w:val="6D6E058C"/>
    <w:rsid w:val="6D8562EF"/>
    <w:rsid w:val="6D8A07A5"/>
    <w:rsid w:val="6D9B3B9B"/>
    <w:rsid w:val="6DEA7A49"/>
    <w:rsid w:val="6DF15F53"/>
    <w:rsid w:val="6E001196"/>
    <w:rsid w:val="6E1C18DF"/>
    <w:rsid w:val="6E54105B"/>
    <w:rsid w:val="6E7D1F41"/>
    <w:rsid w:val="6E8D72AA"/>
    <w:rsid w:val="6E98195E"/>
    <w:rsid w:val="6E9E6070"/>
    <w:rsid w:val="6ED04A6B"/>
    <w:rsid w:val="6F755D6A"/>
    <w:rsid w:val="6F875395"/>
    <w:rsid w:val="6F9133F9"/>
    <w:rsid w:val="6FA24036"/>
    <w:rsid w:val="6FB560D1"/>
    <w:rsid w:val="6FC027DE"/>
    <w:rsid w:val="6FCD1353"/>
    <w:rsid w:val="6FD239EA"/>
    <w:rsid w:val="6FEC561A"/>
    <w:rsid w:val="6FEE40CD"/>
    <w:rsid w:val="704627FC"/>
    <w:rsid w:val="70484DFD"/>
    <w:rsid w:val="7051023C"/>
    <w:rsid w:val="706956F5"/>
    <w:rsid w:val="709961F4"/>
    <w:rsid w:val="709C60B5"/>
    <w:rsid w:val="709C626E"/>
    <w:rsid w:val="70B154A5"/>
    <w:rsid w:val="70BB05FF"/>
    <w:rsid w:val="70DD3EA7"/>
    <w:rsid w:val="70EC25DD"/>
    <w:rsid w:val="70F61350"/>
    <w:rsid w:val="70F80BFA"/>
    <w:rsid w:val="71233EE7"/>
    <w:rsid w:val="713C2707"/>
    <w:rsid w:val="714F568B"/>
    <w:rsid w:val="71542D7C"/>
    <w:rsid w:val="71835E4A"/>
    <w:rsid w:val="71952CB3"/>
    <w:rsid w:val="719D4BD9"/>
    <w:rsid w:val="71D2597C"/>
    <w:rsid w:val="71D74AF6"/>
    <w:rsid w:val="71F01118"/>
    <w:rsid w:val="721E0F95"/>
    <w:rsid w:val="724110B2"/>
    <w:rsid w:val="72445F08"/>
    <w:rsid w:val="725F5238"/>
    <w:rsid w:val="727D7152"/>
    <w:rsid w:val="728A33BB"/>
    <w:rsid w:val="72CD5F62"/>
    <w:rsid w:val="73590365"/>
    <w:rsid w:val="73732B49"/>
    <w:rsid w:val="7399646C"/>
    <w:rsid w:val="73EE1F80"/>
    <w:rsid w:val="74174416"/>
    <w:rsid w:val="74501878"/>
    <w:rsid w:val="747F1FAF"/>
    <w:rsid w:val="74B27C9E"/>
    <w:rsid w:val="74C1647C"/>
    <w:rsid w:val="74F779CF"/>
    <w:rsid w:val="753A6E5F"/>
    <w:rsid w:val="75673052"/>
    <w:rsid w:val="759E4DEC"/>
    <w:rsid w:val="75A857DB"/>
    <w:rsid w:val="75BB7974"/>
    <w:rsid w:val="75E7204B"/>
    <w:rsid w:val="7602558F"/>
    <w:rsid w:val="7626226D"/>
    <w:rsid w:val="76595785"/>
    <w:rsid w:val="767D3386"/>
    <w:rsid w:val="76936FFE"/>
    <w:rsid w:val="76AA5C59"/>
    <w:rsid w:val="76D35C43"/>
    <w:rsid w:val="76E42672"/>
    <w:rsid w:val="773550A6"/>
    <w:rsid w:val="775F3F86"/>
    <w:rsid w:val="77790C06"/>
    <w:rsid w:val="779440A0"/>
    <w:rsid w:val="77B51B87"/>
    <w:rsid w:val="77DA79FB"/>
    <w:rsid w:val="78342F42"/>
    <w:rsid w:val="78447ADD"/>
    <w:rsid w:val="785D52AE"/>
    <w:rsid w:val="788F47ED"/>
    <w:rsid w:val="78DC79D7"/>
    <w:rsid w:val="78EA6014"/>
    <w:rsid w:val="791966A0"/>
    <w:rsid w:val="79215012"/>
    <w:rsid w:val="79241083"/>
    <w:rsid w:val="792D675D"/>
    <w:rsid w:val="792F7C04"/>
    <w:rsid w:val="79352EE7"/>
    <w:rsid w:val="793E6B49"/>
    <w:rsid w:val="794C7C8E"/>
    <w:rsid w:val="797511BB"/>
    <w:rsid w:val="79A00DEF"/>
    <w:rsid w:val="79DD3340"/>
    <w:rsid w:val="79DE4DB6"/>
    <w:rsid w:val="79EE62C9"/>
    <w:rsid w:val="79F6255B"/>
    <w:rsid w:val="7A054DAC"/>
    <w:rsid w:val="7A0C12D6"/>
    <w:rsid w:val="7A1D5307"/>
    <w:rsid w:val="7A2204F6"/>
    <w:rsid w:val="7A452645"/>
    <w:rsid w:val="7A456E39"/>
    <w:rsid w:val="7A4A502C"/>
    <w:rsid w:val="7A4D662C"/>
    <w:rsid w:val="7A6404C3"/>
    <w:rsid w:val="7AC72AED"/>
    <w:rsid w:val="7AF75FF3"/>
    <w:rsid w:val="7B3813B3"/>
    <w:rsid w:val="7B7D5BA9"/>
    <w:rsid w:val="7B885CBA"/>
    <w:rsid w:val="7B91162E"/>
    <w:rsid w:val="7B925239"/>
    <w:rsid w:val="7C280FD0"/>
    <w:rsid w:val="7C4649B2"/>
    <w:rsid w:val="7C6F71EC"/>
    <w:rsid w:val="7CB07F57"/>
    <w:rsid w:val="7CCD4CED"/>
    <w:rsid w:val="7D5F52AB"/>
    <w:rsid w:val="7D863D98"/>
    <w:rsid w:val="7DB4034A"/>
    <w:rsid w:val="7DC92494"/>
    <w:rsid w:val="7E021E62"/>
    <w:rsid w:val="7E2A1EC8"/>
    <w:rsid w:val="7E384382"/>
    <w:rsid w:val="7E3C67F7"/>
    <w:rsid w:val="7E425400"/>
    <w:rsid w:val="7E436003"/>
    <w:rsid w:val="7E4D1CC6"/>
    <w:rsid w:val="7E4E5C6A"/>
    <w:rsid w:val="7E571EB7"/>
    <w:rsid w:val="7E9F3E80"/>
    <w:rsid w:val="7EB47983"/>
    <w:rsid w:val="7ED86E41"/>
    <w:rsid w:val="7F13382D"/>
    <w:rsid w:val="7F223AD3"/>
    <w:rsid w:val="7F405D94"/>
    <w:rsid w:val="7F5E0507"/>
    <w:rsid w:val="7F5E6869"/>
    <w:rsid w:val="7F5F5006"/>
    <w:rsid w:val="7F901D5F"/>
    <w:rsid w:val="7FCC1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rFonts w:ascii="Times New Roman"/>
      <w:b/>
      <w:kern w:val="44"/>
      <w:sz w:val="32"/>
    </w:rPr>
  </w:style>
  <w:style w:type="paragraph" w:styleId="3">
    <w:name w:val="heading 2"/>
    <w:basedOn w:val="1"/>
    <w:next w:val="1"/>
    <w:link w:val="54"/>
    <w:qFormat/>
    <w:uiPriority w:val="0"/>
    <w:pPr>
      <w:keepNext/>
      <w:keepLines/>
      <w:spacing w:before="260" w:after="260" w:line="500" w:lineRule="exact"/>
      <w:outlineLvl w:val="1"/>
    </w:pPr>
    <w:rPr>
      <w:rFonts w:ascii="Arial" w:hAnsi="Arial" w:eastAsia="黑体"/>
      <w:b/>
      <w:kern w:val="2"/>
      <w:sz w:val="28"/>
    </w:rPr>
  </w:style>
  <w:style w:type="paragraph" w:styleId="4">
    <w:name w:val="heading 3"/>
    <w:basedOn w:val="1"/>
    <w:next w:val="5"/>
    <w:link w:val="50"/>
    <w:qFormat/>
    <w:uiPriority w:val="0"/>
    <w:pPr>
      <w:keepNext/>
      <w:keepLines/>
      <w:spacing w:before="260" w:after="260" w:line="413" w:lineRule="auto"/>
      <w:outlineLvl w:val="2"/>
    </w:pPr>
    <w:rPr>
      <w:rFonts w:ascii="Times New Roman"/>
      <w:b/>
      <w:kern w:val="2"/>
      <w:sz w:val="32"/>
    </w:rPr>
  </w:style>
  <w:style w:type="paragraph" w:styleId="6">
    <w:name w:val="heading 4"/>
    <w:basedOn w:val="1"/>
    <w:next w:val="1"/>
    <w:link w:val="51"/>
    <w:qFormat/>
    <w:uiPriority w:val="0"/>
    <w:pPr>
      <w:keepNext/>
      <w:keepLines/>
      <w:spacing w:before="280" w:after="290" w:line="372" w:lineRule="auto"/>
      <w:outlineLvl w:val="3"/>
    </w:pPr>
    <w:rPr>
      <w:rFonts w:ascii="Arial" w:hAnsi="Arial" w:eastAsia="黑体"/>
      <w:b/>
      <w:kern w:val="2"/>
      <w:sz w:val="28"/>
    </w:rPr>
  </w:style>
  <w:style w:type="paragraph" w:styleId="7">
    <w:name w:val="heading 5"/>
    <w:basedOn w:val="1"/>
    <w:next w:val="5"/>
    <w:link w:val="52"/>
    <w:qFormat/>
    <w:uiPriority w:val="0"/>
    <w:pPr>
      <w:keepNext/>
      <w:keepLines/>
      <w:spacing w:before="280" w:after="290" w:line="372" w:lineRule="auto"/>
      <w:outlineLvl w:val="4"/>
    </w:pPr>
    <w:rPr>
      <w:rFonts w:ascii="Times New Roman"/>
      <w:b/>
      <w:kern w:val="2"/>
      <w:sz w:val="28"/>
    </w:rPr>
  </w:style>
  <w:style w:type="paragraph" w:styleId="8">
    <w:name w:val="heading 6"/>
    <w:basedOn w:val="1"/>
    <w:next w:val="5"/>
    <w:link w:val="53"/>
    <w:qFormat/>
    <w:uiPriority w:val="0"/>
    <w:pPr>
      <w:keepNext/>
      <w:keepLines/>
      <w:spacing w:before="240" w:after="64" w:line="317" w:lineRule="auto"/>
      <w:outlineLvl w:val="5"/>
    </w:pPr>
    <w:rPr>
      <w:rFonts w:ascii="Arial" w:hAnsi="Arial" w:eastAsia="黑体"/>
      <w:b/>
      <w:kern w:val="2"/>
      <w:sz w:val="24"/>
    </w:rPr>
  </w:style>
  <w:style w:type="paragraph" w:styleId="9">
    <w:name w:val="heading 7"/>
    <w:basedOn w:val="1"/>
    <w:next w:val="5"/>
    <w:link w:val="140"/>
    <w:qFormat/>
    <w:uiPriority w:val="0"/>
    <w:pPr>
      <w:keepNext/>
      <w:keepLines/>
      <w:spacing w:before="240" w:after="64" w:line="317" w:lineRule="auto"/>
      <w:outlineLvl w:val="6"/>
    </w:pPr>
    <w:rPr>
      <w:rFonts w:ascii="Times New Roman"/>
      <w:b/>
      <w:kern w:val="2"/>
      <w:sz w:val="24"/>
    </w:rPr>
  </w:style>
  <w:style w:type="paragraph" w:styleId="10">
    <w:name w:val="heading 8"/>
    <w:basedOn w:val="1"/>
    <w:next w:val="5"/>
    <w:link w:val="126"/>
    <w:qFormat/>
    <w:uiPriority w:val="0"/>
    <w:pPr>
      <w:keepNext/>
      <w:keepLines/>
      <w:spacing w:before="240" w:after="64" w:line="317" w:lineRule="auto"/>
      <w:outlineLvl w:val="7"/>
    </w:pPr>
    <w:rPr>
      <w:rFonts w:ascii="Arial" w:hAnsi="Arial" w:eastAsia="黑体"/>
      <w:kern w:val="2"/>
      <w:sz w:val="24"/>
    </w:rPr>
  </w:style>
  <w:style w:type="paragraph" w:styleId="11">
    <w:name w:val="heading 9"/>
    <w:basedOn w:val="1"/>
    <w:next w:val="5"/>
    <w:link w:val="122"/>
    <w:qFormat/>
    <w:uiPriority w:val="0"/>
    <w:pPr>
      <w:keepNext/>
      <w:keepLines/>
      <w:spacing w:before="240" w:after="64" w:line="317" w:lineRule="auto"/>
      <w:outlineLvl w:val="8"/>
    </w:pPr>
    <w:rPr>
      <w:rFonts w:ascii="Arial" w:hAnsi="Arial" w:eastAsia="黑体"/>
      <w:kern w:val="2"/>
      <w:sz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2"/>
    <w:qFormat/>
    <w:uiPriority w:val="0"/>
    <w:pPr>
      <w:ind w:firstLine="420"/>
    </w:pPr>
    <w:rPr>
      <w:rFonts w:ascii="Times New Roman"/>
      <w:kern w:val="2"/>
      <w:sz w:val="21"/>
    </w:rPr>
  </w:style>
  <w:style w:type="paragraph" w:styleId="12">
    <w:name w:val="List Bullet"/>
    <w:basedOn w:val="1"/>
    <w:qFormat/>
    <w:uiPriority w:val="0"/>
    <w:pPr>
      <w:tabs>
        <w:tab w:val="left" w:pos="360"/>
      </w:tabs>
      <w:ind w:left="360" w:hanging="360"/>
    </w:pPr>
    <w:rPr>
      <w:szCs w:val="24"/>
    </w:rPr>
  </w:style>
  <w:style w:type="paragraph" w:styleId="13">
    <w:name w:val="Document Map"/>
    <w:basedOn w:val="1"/>
    <w:link w:val="156"/>
    <w:qFormat/>
    <w:uiPriority w:val="0"/>
    <w:pPr>
      <w:shd w:val="clear" w:color="auto" w:fill="000080"/>
    </w:pPr>
    <w:rPr>
      <w:rFonts w:ascii="Times New Roman"/>
      <w:kern w:val="2"/>
      <w:sz w:val="21"/>
    </w:rPr>
  </w:style>
  <w:style w:type="paragraph" w:styleId="14">
    <w:name w:val="toa heading"/>
    <w:basedOn w:val="1"/>
    <w:next w:val="1"/>
    <w:qFormat/>
    <w:uiPriority w:val="0"/>
    <w:pPr>
      <w:spacing w:before="120" w:beforeLines="0" w:beforeAutospacing="0"/>
    </w:pPr>
    <w:rPr>
      <w:rFonts w:ascii="Arial" w:hAnsi="Arial"/>
      <w:sz w:val="24"/>
    </w:rPr>
  </w:style>
  <w:style w:type="paragraph" w:styleId="15">
    <w:name w:val="annotation text"/>
    <w:basedOn w:val="1"/>
    <w:link w:val="158"/>
    <w:qFormat/>
    <w:uiPriority w:val="0"/>
    <w:pPr>
      <w:jc w:val="left"/>
    </w:pPr>
    <w:rPr>
      <w:szCs w:val="24"/>
    </w:rPr>
  </w:style>
  <w:style w:type="paragraph" w:styleId="16">
    <w:name w:val="Body Text 3"/>
    <w:basedOn w:val="1"/>
    <w:qFormat/>
    <w:uiPriority w:val="0"/>
    <w:pPr>
      <w:spacing w:line="500" w:lineRule="exact"/>
    </w:pPr>
    <w:rPr>
      <w:b/>
      <w:sz w:val="24"/>
    </w:rPr>
  </w:style>
  <w:style w:type="paragraph" w:styleId="17">
    <w:name w:val="Body Text"/>
    <w:basedOn w:val="1"/>
    <w:link w:val="160"/>
    <w:qFormat/>
    <w:uiPriority w:val="99"/>
    <w:pPr>
      <w:spacing w:after="120"/>
    </w:pPr>
  </w:style>
  <w:style w:type="paragraph" w:styleId="18">
    <w:name w:val="Body Text Indent"/>
    <w:basedOn w:val="1"/>
    <w:qFormat/>
    <w:uiPriority w:val="0"/>
    <w:pPr>
      <w:ind w:firstLine="630"/>
    </w:pPr>
    <w:rPr>
      <w:sz w:val="32"/>
    </w:rPr>
  </w:style>
  <w:style w:type="paragraph" w:styleId="19">
    <w:name w:val="Block Text"/>
    <w:basedOn w:val="1"/>
    <w:qFormat/>
    <w:uiPriority w:val="0"/>
    <w:pPr>
      <w:spacing w:line="400" w:lineRule="exact"/>
      <w:ind w:left="-359" w:leftChars="-171" w:right="-327" w:rightChars="-327" w:firstLine="720"/>
    </w:pPr>
    <w:rPr>
      <w:rFonts w:hAnsi="宋体"/>
      <w:sz w:val="28"/>
    </w:rPr>
  </w:style>
  <w:style w:type="paragraph" w:styleId="20">
    <w:name w:val="toc 3"/>
    <w:basedOn w:val="1"/>
    <w:next w:val="1"/>
    <w:qFormat/>
    <w:uiPriority w:val="0"/>
    <w:pPr>
      <w:tabs>
        <w:tab w:val="right" w:leader="dot" w:pos="9720"/>
      </w:tabs>
      <w:ind w:left="840" w:leftChars="400"/>
    </w:pPr>
  </w:style>
  <w:style w:type="paragraph" w:styleId="21">
    <w:name w:val="Plain Text"/>
    <w:basedOn w:val="1"/>
    <w:qFormat/>
    <w:uiPriority w:val="0"/>
    <w:rPr>
      <w:rFonts w:hAnsi="Courier New"/>
    </w:rPr>
  </w:style>
  <w:style w:type="paragraph" w:styleId="22">
    <w:name w:val="Date"/>
    <w:basedOn w:val="1"/>
    <w:next w:val="1"/>
    <w:qFormat/>
    <w:uiPriority w:val="0"/>
    <w:rPr>
      <w:rFonts w:eastAsia="黑体"/>
      <w:sz w:val="36"/>
    </w:rPr>
  </w:style>
  <w:style w:type="paragraph" w:styleId="23">
    <w:name w:val="Body Text Indent 2"/>
    <w:basedOn w:val="1"/>
    <w:qFormat/>
    <w:uiPriority w:val="0"/>
    <w:pPr>
      <w:ind w:firstLine="630"/>
    </w:pPr>
    <w:rPr>
      <w:sz w:val="32"/>
    </w:rPr>
  </w:style>
  <w:style w:type="paragraph" w:styleId="24">
    <w:name w:val="Balloon Text"/>
    <w:basedOn w:val="1"/>
    <w:link w:val="138"/>
    <w:qFormat/>
    <w:uiPriority w:val="0"/>
    <w:rPr>
      <w:rFonts w:ascii="Times New Roman"/>
      <w:kern w:val="2"/>
      <w:sz w:val="18"/>
      <w:szCs w:val="18"/>
    </w:rPr>
  </w:style>
  <w:style w:type="paragraph" w:styleId="25">
    <w:name w:val="footer"/>
    <w:basedOn w:val="1"/>
    <w:link w:val="139"/>
    <w:qFormat/>
    <w:uiPriority w:val="99"/>
    <w:pPr>
      <w:tabs>
        <w:tab w:val="center" w:pos="4153"/>
        <w:tab w:val="right" w:pos="8306"/>
      </w:tabs>
      <w:snapToGrid w:val="0"/>
      <w:jc w:val="left"/>
    </w:pPr>
    <w:rPr>
      <w:rFonts w:ascii="Times New Roman"/>
      <w:sz w:val="18"/>
      <w:szCs w:val="18"/>
    </w:rPr>
  </w:style>
  <w:style w:type="paragraph" w:styleId="26">
    <w:name w:val="header"/>
    <w:basedOn w:val="1"/>
    <w:link w:val="124"/>
    <w:qFormat/>
    <w:uiPriority w:val="99"/>
    <w:pPr>
      <w:pBdr>
        <w:bottom w:val="single" w:color="auto" w:sz="6" w:space="1"/>
      </w:pBdr>
      <w:tabs>
        <w:tab w:val="center" w:pos="4153"/>
        <w:tab w:val="right" w:pos="8306"/>
      </w:tabs>
      <w:snapToGrid w:val="0"/>
      <w:jc w:val="center"/>
    </w:pPr>
    <w:rPr>
      <w:b/>
      <w:kern w:val="2"/>
      <w:sz w:val="32"/>
    </w:rPr>
  </w:style>
  <w:style w:type="paragraph" w:styleId="27">
    <w:name w:val="toc 1"/>
    <w:basedOn w:val="1"/>
    <w:next w:val="1"/>
    <w:qFormat/>
    <w:uiPriority w:val="0"/>
    <w:pPr>
      <w:tabs>
        <w:tab w:val="right" w:leader="dot" w:pos="8398"/>
      </w:tabs>
      <w:spacing w:before="120" w:after="120"/>
      <w:ind w:firstLine="240" w:firstLineChars="100"/>
      <w:jc w:val="left"/>
    </w:pPr>
    <w:rPr>
      <w:rFonts w:hAnsi="宋体"/>
      <w:b/>
      <w:caps/>
      <w:sz w:val="24"/>
    </w:rPr>
  </w:style>
  <w:style w:type="paragraph" w:styleId="28">
    <w:name w:val="Body Text Indent 3"/>
    <w:basedOn w:val="1"/>
    <w:qFormat/>
    <w:uiPriority w:val="0"/>
    <w:pPr>
      <w:adjustRightInd w:val="0"/>
      <w:snapToGrid w:val="0"/>
      <w:spacing w:line="360" w:lineRule="auto"/>
      <w:ind w:firstLine="600" w:firstLineChars="200"/>
    </w:pPr>
    <w:rPr>
      <w:rFonts w:ascii="黑体" w:eastAsia="黑体"/>
      <w:sz w:val="30"/>
    </w:rPr>
  </w:style>
  <w:style w:type="paragraph" w:styleId="29">
    <w:name w:val="toc 2"/>
    <w:basedOn w:val="1"/>
    <w:next w:val="1"/>
    <w:qFormat/>
    <w:uiPriority w:val="0"/>
    <w:pPr>
      <w:tabs>
        <w:tab w:val="right" w:leader="dot" w:pos="9628"/>
      </w:tabs>
      <w:ind w:left="420" w:leftChars="200" w:firstLine="479" w:firstLineChars="228"/>
    </w:pPr>
    <w:rPr>
      <w:rFonts w:ascii="仿宋_GB2312" w:hAnsi="宋体" w:eastAsia="仿宋_GB2312"/>
      <w:color w:val="000000"/>
    </w:rPr>
  </w:style>
  <w:style w:type="paragraph" w:styleId="30">
    <w:name w:val="Body Text 2"/>
    <w:basedOn w:val="1"/>
    <w:qFormat/>
    <w:uiPriority w:val="0"/>
    <w:pPr>
      <w:spacing w:after="120" w:line="480" w:lineRule="auto"/>
    </w:pPr>
  </w:style>
  <w:style w:type="paragraph" w:styleId="31">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lang w:eastAsia="en-US"/>
    </w:rPr>
  </w:style>
  <w:style w:type="paragraph" w:styleId="32">
    <w:name w:val="Normal (Web)"/>
    <w:basedOn w:val="1"/>
    <w:qFormat/>
    <w:uiPriority w:val="0"/>
    <w:pPr>
      <w:widowControl/>
      <w:spacing w:before="100" w:beforeAutospacing="1" w:after="100" w:afterAutospacing="1"/>
      <w:jc w:val="left"/>
    </w:pPr>
    <w:rPr>
      <w:rFonts w:hAnsi="宋体"/>
      <w:sz w:val="18"/>
    </w:rPr>
  </w:style>
  <w:style w:type="paragraph" w:styleId="33">
    <w:name w:val="index 1"/>
    <w:basedOn w:val="1"/>
    <w:next w:val="1"/>
    <w:qFormat/>
    <w:uiPriority w:val="0"/>
    <w:pPr>
      <w:spacing w:line="320" w:lineRule="exact"/>
      <w:jc w:val="center"/>
    </w:pPr>
    <w:rPr>
      <w:rFonts w:eastAsia="仿宋_GB2312"/>
      <w:b/>
    </w:rPr>
  </w:style>
  <w:style w:type="paragraph" w:styleId="34">
    <w:name w:val="annotation subject"/>
    <w:basedOn w:val="15"/>
    <w:next w:val="15"/>
    <w:qFormat/>
    <w:uiPriority w:val="0"/>
    <w:rPr>
      <w:b/>
      <w:bCs/>
      <w:szCs w:val="20"/>
    </w:rPr>
  </w:style>
  <w:style w:type="paragraph" w:styleId="35">
    <w:name w:val="Body Text First Indent"/>
    <w:basedOn w:val="17"/>
    <w:next w:val="36"/>
    <w:qFormat/>
    <w:uiPriority w:val="0"/>
    <w:pPr>
      <w:ind w:firstLine="420" w:firstLineChars="100"/>
    </w:pPr>
  </w:style>
  <w:style w:type="paragraph" w:customStyle="1" w:styleId="36">
    <w:name w:val="段落正文"/>
    <w:basedOn w:val="14"/>
    <w:qFormat/>
    <w:uiPriority w:val="0"/>
    <w:pPr>
      <w:spacing w:beforeLines="50" w:line="360" w:lineRule="auto"/>
      <w:ind w:firstLine="200" w:firstLineChars="200"/>
    </w:pPr>
    <w:rPr>
      <w:spacing w:val="2"/>
      <w:sz w:val="24"/>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TML Definition"/>
    <w:basedOn w:val="39"/>
    <w:qFormat/>
    <w:uiPriority w:val="0"/>
  </w:style>
  <w:style w:type="character" w:styleId="44">
    <w:name w:val="HTML Variable"/>
    <w:basedOn w:val="39"/>
    <w:qFormat/>
    <w:uiPriority w:val="0"/>
  </w:style>
  <w:style w:type="character" w:styleId="45">
    <w:name w:val="Hyperlink"/>
    <w:qFormat/>
    <w:uiPriority w:val="0"/>
    <w:rPr>
      <w:color w:val="0000FF"/>
      <w:u w:val="single"/>
    </w:rPr>
  </w:style>
  <w:style w:type="character" w:styleId="46">
    <w:name w:val="HTML Code"/>
    <w:basedOn w:val="39"/>
    <w:qFormat/>
    <w:uiPriority w:val="0"/>
    <w:rPr>
      <w:rFonts w:ascii="Courier New" w:hAnsi="Courier New"/>
      <w:sz w:val="20"/>
    </w:rPr>
  </w:style>
  <w:style w:type="character" w:styleId="47">
    <w:name w:val="annotation reference"/>
    <w:basedOn w:val="39"/>
    <w:qFormat/>
    <w:uiPriority w:val="99"/>
    <w:rPr>
      <w:sz w:val="21"/>
    </w:rPr>
  </w:style>
  <w:style w:type="character" w:styleId="48">
    <w:name w:val="HTML Cite"/>
    <w:basedOn w:val="39"/>
    <w:qFormat/>
    <w:uiPriority w:val="0"/>
  </w:style>
  <w:style w:type="character" w:customStyle="1" w:styleId="49">
    <w:name w:val="标题 1 字符"/>
    <w:link w:val="2"/>
    <w:qFormat/>
    <w:uiPriority w:val="0"/>
    <w:rPr>
      <w:rFonts w:eastAsia="宋体"/>
      <w:b/>
      <w:kern w:val="44"/>
      <w:sz w:val="32"/>
      <w:lang w:val="en-US" w:eastAsia="zh-CN" w:bidi="ar-SA"/>
    </w:rPr>
  </w:style>
  <w:style w:type="character" w:customStyle="1" w:styleId="50">
    <w:name w:val="标题 3 字符"/>
    <w:link w:val="4"/>
    <w:qFormat/>
    <w:uiPriority w:val="0"/>
    <w:rPr>
      <w:rFonts w:eastAsia="宋体"/>
      <w:b/>
      <w:kern w:val="2"/>
      <w:sz w:val="32"/>
      <w:lang w:val="en-US" w:eastAsia="zh-CN" w:bidi="ar-SA"/>
    </w:rPr>
  </w:style>
  <w:style w:type="character" w:customStyle="1" w:styleId="51">
    <w:name w:val="标题 4 字符"/>
    <w:link w:val="6"/>
    <w:qFormat/>
    <w:uiPriority w:val="0"/>
    <w:rPr>
      <w:rFonts w:ascii="Arial" w:hAnsi="Arial" w:eastAsia="黑体"/>
      <w:b/>
      <w:kern w:val="2"/>
      <w:sz w:val="28"/>
      <w:lang w:val="en-US" w:eastAsia="zh-CN" w:bidi="ar-SA"/>
    </w:rPr>
  </w:style>
  <w:style w:type="character" w:customStyle="1" w:styleId="52">
    <w:name w:val="标题 5 字符"/>
    <w:link w:val="7"/>
    <w:qFormat/>
    <w:uiPriority w:val="0"/>
    <w:rPr>
      <w:rFonts w:eastAsia="宋体"/>
      <w:b/>
      <w:kern w:val="2"/>
      <w:sz w:val="28"/>
      <w:lang w:val="en-US" w:eastAsia="zh-CN" w:bidi="ar-SA"/>
    </w:rPr>
  </w:style>
  <w:style w:type="character" w:customStyle="1" w:styleId="53">
    <w:name w:val="标题 6 字符"/>
    <w:link w:val="8"/>
    <w:qFormat/>
    <w:uiPriority w:val="0"/>
    <w:rPr>
      <w:rFonts w:ascii="Arial" w:hAnsi="Arial" w:eastAsia="黑体"/>
      <w:b/>
      <w:kern w:val="2"/>
      <w:sz w:val="24"/>
      <w:lang w:val="en-US" w:eastAsia="zh-CN" w:bidi="ar-SA"/>
    </w:rPr>
  </w:style>
  <w:style w:type="character" w:customStyle="1" w:styleId="54">
    <w:name w:val="标题 2 字符"/>
    <w:link w:val="3"/>
    <w:qFormat/>
    <w:uiPriority w:val="0"/>
    <w:rPr>
      <w:rFonts w:ascii="Arial" w:hAnsi="Arial" w:eastAsia="黑体"/>
      <w:b/>
      <w:kern w:val="2"/>
      <w:sz w:val="28"/>
      <w:lang w:val="en-US" w:eastAsia="zh-CN" w:bidi="ar-SA"/>
    </w:rPr>
  </w:style>
  <w:style w:type="paragraph" w:styleId="5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7">
    <w:name w:val="Char1"/>
    <w:basedOn w:val="1"/>
    <w:qFormat/>
    <w:uiPriority w:val="0"/>
  </w:style>
  <w:style w:type="paragraph" w:customStyle="1" w:styleId="58">
    <w:name w:val="Char Char Char1 Char"/>
    <w:basedOn w:val="1"/>
    <w:qFormat/>
    <w:uiPriority w:val="0"/>
  </w:style>
  <w:style w:type="paragraph" w:customStyle="1" w:styleId="59">
    <w:name w:val="纯文本1"/>
    <w:basedOn w:val="1"/>
    <w:qFormat/>
    <w:uiPriority w:val="0"/>
    <w:pPr>
      <w:adjustRightInd w:val="0"/>
      <w:textAlignment w:val="baseline"/>
    </w:pPr>
    <w:rPr>
      <w:rFonts w:hAnsi="Courier New"/>
    </w:rPr>
  </w:style>
  <w:style w:type="paragraph" w:customStyle="1" w:styleId="6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2 Char Char Char"/>
    <w:basedOn w:val="1"/>
    <w:qFormat/>
    <w:uiPriority w:val="0"/>
    <w:rPr>
      <w:rFonts w:ascii="仿宋_GB2312" w:eastAsia="仿宋_GB2312"/>
      <w:b/>
      <w:sz w:val="32"/>
    </w:rPr>
  </w:style>
  <w:style w:type="paragraph" w:customStyle="1" w:styleId="62">
    <w:name w:val="Char5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63">
    <w:name w:val="GW-正文"/>
    <w:basedOn w:val="1"/>
    <w:link w:val="145"/>
    <w:qFormat/>
    <w:uiPriority w:val="0"/>
    <w:pPr>
      <w:spacing w:line="360" w:lineRule="auto"/>
      <w:ind w:firstLine="200" w:firstLineChars="200"/>
      <w:contextualSpacing/>
    </w:pPr>
    <w:rPr>
      <w:rFonts w:ascii="Times New Roman" w:eastAsia="仿宋_GB2312"/>
      <w:sz w:val="24"/>
      <w:szCs w:val="24"/>
    </w:rPr>
  </w:style>
  <w:style w:type="paragraph" w:customStyle="1" w:styleId="64">
    <w:name w:val="GW-标题4"/>
    <w:basedOn w:val="65"/>
    <w:qFormat/>
    <w:uiPriority w:val="0"/>
    <w:pPr>
      <w:outlineLvl w:val="3"/>
    </w:pPr>
    <w:rPr>
      <w:sz w:val="30"/>
    </w:rPr>
  </w:style>
  <w:style w:type="paragraph" w:customStyle="1" w:styleId="65">
    <w:name w:val="GW-标题3"/>
    <w:basedOn w:val="4"/>
    <w:link w:val="151"/>
    <w:qFormat/>
    <w:uiPriority w:val="0"/>
    <w:pPr>
      <w:spacing w:beforeLines="50" w:afterLines="50" w:line="360" w:lineRule="auto"/>
      <w:ind w:left="420" w:hanging="420"/>
    </w:pPr>
    <w:rPr>
      <w:rFonts w:ascii="仿宋_GB2312" w:hAnsi="Calibri" w:eastAsia="仿宋_GB2312"/>
      <w:bCs/>
      <w:szCs w:val="24"/>
    </w:rPr>
  </w:style>
  <w:style w:type="paragraph" w:customStyle="1" w:styleId="66">
    <w:name w:val="GW-标题5"/>
    <w:basedOn w:val="64"/>
    <w:qFormat/>
    <w:uiPriority w:val="0"/>
    <w:pPr>
      <w:outlineLvl w:val="4"/>
    </w:pPr>
    <w:rPr>
      <w:sz w:val="28"/>
    </w:rPr>
  </w:style>
  <w:style w:type="paragraph" w:customStyle="1" w:styleId="67">
    <w:name w:val="大纲正文"/>
    <w:basedOn w:val="1"/>
    <w:qFormat/>
    <w:uiPriority w:val="0"/>
    <w:pPr>
      <w:spacing w:line="360" w:lineRule="auto"/>
      <w:ind w:firstLine="480" w:firstLineChars="200"/>
    </w:pPr>
    <w:rPr>
      <w:rFonts w:cs="宋体"/>
      <w:sz w:val="24"/>
    </w:rPr>
  </w:style>
  <w:style w:type="paragraph" w:customStyle="1" w:styleId="68">
    <w:name w:val="headmid"/>
    <w:basedOn w:val="1"/>
    <w:qFormat/>
    <w:uiPriority w:val="0"/>
    <w:pPr>
      <w:widowControl/>
      <w:spacing w:before="100" w:beforeAutospacing="1" w:after="100" w:afterAutospacing="1"/>
      <w:jc w:val="center"/>
    </w:pPr>
    <w:rPr>
      <w:rFonts w:hAnsi="宋体"/>
      <w:sz w:val="36"/>
    </w:rPr>
  </w:style>
  <w:style w:type="paragraph" w:customStyle="1" w:styleId="69">
    <w:name w:val="GW-标题8"/>
    <w:basedOn w:val="70"/>
    <w:qFormat/>
    <w:uiPriority w:val="0"/>
    <w:pPr>
      <w:outlineLvl w:val="7"/>
    </w:pPr>
    <w:rPr>
      <w:b w:val="0"/>
    </w:rPr>
  </w:style>
  <w:style w:type="paragraph" w:customStyle="1" w:styleId="70">
    <w:name w:val="GW-标题7"/>
    <w:basedOn w:val="71"/>
    <w:qFormat/>
    <w:uiPriority w:val="0"/>
    <w:pPr>
      <w:outlineLvl w:val="6"/>
    </w:pPr>
    <w:rPr>
      <w:sz w:val="21"/>
    </w:rPr>
  </w:style>
  <w:style w:type="paragraph" w:customStyle="1" w:styleId="71">
    <w:name w:val="GW-标题6"/>
    <w:basedOn w:val="66"/>
    <w:qFormat/>
    <w:uiPriority w:val="0"/>
    <w:pPr>
      <w:outlineLvl w:val="5"/>
    </w:pPr>
    <w:rPr>
      <w:sz w:val="24"/>
    </w:rPr>
  </w:style>
  <w:style w:type="paragraph" w:customStyle="1" w:styleId="72">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73">
    <w:name w:val="GW-标题1"/>
    <w:basedOn w:val="2"/>
    <w:next w:val="1"/>
    <w:qFormat/>
    <w:uiPriority w:val="0"/>
    <w:pPr>
      <w:spacing w:beforeLines="100" w:afterLines="100" w:line="360" w:lineRule="auto"/>
      <w:ind w:left="420" w:hanging="420"/>
    </w:pPr>
    <w:rPr>
      <w:rFonts w:ascii="Calibri" w:hAnsi="Calibri" w:eastAsia="仿宋_GB2312"/>
      <w:bCs/>
      <w:sz w:val="44"/>
      <w:szCs w:val="44"/>
    </w:rPr>
  </w:style>
  <w:style w:type="paragraph" w:customStyle="1" w:styleId="74">
    <w:name w:val="Char11"/>
    <w:basedOn w:val="1"/>
    <w:qFormat/>
    <w:uiPriority w:val="0"/>
    <w:rPr>
      <w:rFonts w:ascii="仿宋_GB2312" w:eastAsia="仿宋_GB2312"/>
      <w:b/>
      <w:sz w:val="32"/>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Char2"/>
    <w:basedOn w:val="1"/>
    <w:qFormat/>
    <w:uiPriority w:val="0"/>
    <w:pPr>
      <w:widowControl/>
      <w:spacing w:after="160" w:line="240" w:lineRule="exact"/>
      <w:jc w:val="left"/>
    </w:pPr>
  </w:style>
  <w:style w:type="paragraph" w:customStyle="1" w:styleId="77">
    <w:name w:val="p14y style6"/>
    <w:basedOn w:val="1"/>
    <w:qFormat/>
    <w:uiPriority w:val="0"/>
    <w:pPr>
      <w:widowControl/>
      <w:spacing w:before="100" w:beforeAutospacing="1" w:after="100" w:afterAutospacing="1" w:line="228" w:lineRule="atLeast"/>
      <w:jc w:val="left"/>
    </w:pPr>
    <w:rPr>
      <w:rFonts w:hAnsi="宋体"/>
      <w:sz w:val="14"/>
    </w:rPr>
  </w:style>
  <w:style w:type="paragraph" w:customStyle="1" w:styleId="78">
    <w:name w:val="h表格"/>
    <w:basedOn w:val="1"/>
    <w:qFormat/>
    <w:uiPriority w:val="0"/>
    <w:pPr>
      <w:widowControl/>
      <w:jc w:val="center"/>
    </w:pPr>
    <w:rPr>
      <w:rFonts w:hAnsi="宋体" w:eastAsia="仿宋_GB2312" w:cs="宋体"/>
      <w:bCs/>
      <w:szCs w:val="22"/>
    </w:rPr>
  </w:style>
  <w:style w:type="paragraph" w:customStyle="1" w:styleId="79">
    <w:name w:val="Char Char Char Char1"/>
    <w:basedOn w:val="1"/>
    <w:qFormat/>
    <w:uiPriority w:val="0"/>
    <w:pPr>
      <w:widowControl/>
      <w:spacing w:before="100" w:beforeAutospacing="1" w:after="100" w:afterAutospacing="1" w:line="360" w:lineRule="auto"/>
      <w:jc w:val="left"/>
    </w:pPr>
    <w:rPr>
      <w:rFonts w:ascii="Verdana" w:hAnsi="Verdana"/>
      <w:sz w:val="20"/>
      <w:lang w:eastAsia="en-US"/>
    </w:rPr>
  </w:style>
  <w:style w:type="paragraph" w:customStyle="1" w:styleId="80">
    <w:name w:val="xl30"/>
    <w:basedOn w:val="1"/>
    <w:qFormat/>
    <w:uiPriority w:val="0"/>
    <w:pPr>
      <w:widowControl/>
      <w:spacing w:before="100" w:beforeAutospacing="1" w:after="100" w:afterAutospacing="1"/>
      <w:jc w:val="center"/>
      <w:textAlignment w:val="center"/>
    </w:pPr>
    <w:rPr>
      <w:rFonts w:eastAsia="Arial Unicode MS"/>
      <w:sz w:val="24"/>
    </w:rPr>
  </w:style>
  <w:style w:type="paragraph" w:customStyle="1" w:styleId="81">
    <w:name w:val="可研正文"/>
    <w:basedOn w:val="1"/>
    <w:qFormat/>
    <w:uiPriority w:val="0"/>
    <w:pPr>
      <w:widowControl/>
      <w:spacing w:line="360" w:lineRule="auto"/>
      <w:ind w:firstLine="420"/>
    </w:pPr>
    <w:rPr>
      <w:rFonts w:hAnsi="宋体" w:cs="宋体"/>
    </w:rPr>
  </w:style>
  <w:style w:type="paragraph" w:customStyle="1" w:styleId="82">
    <w:name w:val="GW-标题2"/>
    <w:basedOn w:val="73"/>
    <w:link w:val="131"/>
    <w:qFormat/>
    <w:uiPriority w:val="0"/>
    <w:pPr>
      <w:spacing w:beforeLines="0" w:afterLines="0"/>
      <w:jc w:val="left"/>
      <w:outlineLvl w:val="1"/>
    </w:pPr>
    <w:rPr>
      <w:sz w:val="36"/>
    </w:r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customStyle="1" w:styleId="84">
    <w:name w:val="正文首行缩进两字符"/>
    <w:basedOn w:val="1"/>
    <w:link w:val="132"/>
    <w:qFormat/>
    <w:uiPriority w:val="0"/>
    <w:pPr>
      <w:spacing w:line="360" w:lineRule="auto"/>
      <w:ind w:firstLine="200" w:firstLineChars="200"/>
    </w:pPr>
    <w:rPr>
      <w:rFonts w:ascii="Times New Roman"/>
      <w:kern w:val="2"/>
      <w:sz w:val="21"/>
    </w:rPr>
  </w:style>
  <w:style w:type="paragraph" w:customStyle="1" w:styleId="85">
    <w:name w:val="正文缩进3"/>
    <w:basedOn w:val="1"/>
    <w:qFormat/>
    <w:uiPriority w:val="0"/>
    <w:pPr>
      <w:ind w:firstLine="420"/>
    </w:pPr>
    <w:rPr>
      <w:rFonts w:hAnsi="Calibri"/>
    </w:rPr>
  </w:style>
  <w:style w:type="paragraph" w:customStyle="1" w:styleId="86">
    <w:name w:val="文字样式"/>
    <w:basedOn w:val="1"/>
    <w:link w:val="134"/>
    <w:qFormat/>
    <w:uiPriority w:val="0"/>
    <w:pPr>
      <w:spacing w:line="360" w:lineRule="auto"/>
      <w:ind w:firstLine="480" w:firstLineChars="200"/>
    </w:pPr>
    <w:rPr>
      <w:rFonts w:ascii="Times New Roman"/>
      <w:kern w:val="2"/>
      <w:sz w:val="24"/>
    </w:rPr>
  </w:style>
  <w:style w:type="paragraph" w:customStyle="1" w:styleId="87">
    <w:name w:val="正文格式"/>
    <w:basedOn w:val="1"/>
    <w:qFormat/>
    <w:uiPriority w:val="0"/>
    <w:pPr>
      <w:spacing w:line="360" w:lineRule="auto"/>
      <w:jc w:val="left"/>
    </w:pPr>
    <w:rPr>
      <w:rFonts w:ascii="Calibri" w:hAnsi="Calibri" w:eastAsia="新宋体"/>
      <w:szCs w:val="22"/>
    </w:r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89">
    <w:name w:val="Char1 Char Char Char"/>
    <w:basedOn w:val="1"/>
    <w:qFormat/>
    <w:uiPriority w:val="0"/>
    <w:rPr>
      <w:rFonts w:ascii="Tahoma" w:hAnsi="Tahoma"/>
      <w:sz w:val="30"/>
    </w:rPr>
  </w:style>
  <w:style w:type="paragraph" w:customStyle="1" w:styleId="90">
    <w:name w:val="_Style 2"/>
    <w:basedOn w:val="1"/>
    <w:qFormat/>
    <w:uiPriority w:val="0"/>
    <w:pPr>
      <w:ind w:firstLine="420" w:firstLineChars="200"/>
    </w:pPr>
    <w:rPr>
      <w:sz w:val="18"/>
      <w:szCs w:val="18"/>
    </w:rPr>
  </w:style>
  <w:style w:type="paragraph" w:customStyle="1" w:styleId="91">
    <w:name w:val="*正文"/>
    <w:basedOn w:val="1"/>
    <w:qFormat/>
    <w:uiPriority w:val="0"/>
    <w:pPr>
      <w:widowControl/>
      <w:spacing w:line="360" w:lineRule="auto"/>
      <w:ind w:firstLine="200" w:firstLineChars="200"/>
      <w:jc w:val="left"/>
    </w:pPr>
    <w:rPr>
      <w:rFonts w:ascii="仿宋_GB2312" w:eastAsia="仿宋_GB2312"/>
      <w:sz w:val="28"/>
      <w:szCs w:val="28"/>
    </w:rPr>
  </w:style>
  <w:style w:type="paragraph" w:customStyle="1" w:styleId="92">
    <w:name w:val="smhead"/>
    <w:basedOn w:val="1"/>
    <w:qFormat/>
    <w:uiPriority w:val="0"/>
    <w:pPr>
      <w:widowControl/>
      <w:spacing w:before="100" w:beforeAutospacing="1" w:after="100" w:afterAutospacing="1"/>
      <w:jc w:val="left"/>
    </w:pPr>
    <w:rPr>
      <w:rFonts w:hAnsi="宋体"/>
    </w:rPr>
  </w:style>
  <w:style w:type="paragraph" w:customStyle="1" w:styleId="93">
    <w:name w:val="h图"/>
    <w:basedOn w:val="8"/>
    <w:qFormat/>
    <w:uiPriority w:val="0"/>
    <w:pPr>
      <w:keepNext w:val="0"/>
      <w:widowControl/>
      <w:tabs>
        <w:tab w:val="left" w:pos="360"/>
      </w:tabs>
      <w:spacing w:before="120" w:after="120" w:line="360" w:lineRule="auto"/>
      <w:jc w:val="center"/>
      <w:outlineLvl w:val="6"/>
    </w:pPr>
    <w:rPr>
      <w:rFonts w:ascii="Times New Roman" w:hAnsi="Times New Roman" w:eastAsia="华文仿宋"/>
      <w:b w:val="0"/>
      <w:bCs/>
      <w:sz w:val="21"/>
      <w:szCs w:val="21"/>
    </w:rPr>
  </w:style>
  <w:style w:type="paragraph" w:customStyle="1" w:styleId="94">
    <w:name w:val="表格"/>
    <w:basedOn w:val="1"/>
    <w:qFormat/>
    <w:uiPriority w:val="0"/>
    <w:pPr>
      <w:spacing w:line="400" w:lineRule="exact"/>
    </w:pPr>
    <w:rPr>
      <w:sz w:val="24"/>
    </w:rPr>
  </w:style>
  <w:style w:type="paragraph" w:customStyle="1" w:styleId="95">
    <w:name w:val="列出段落1"/>
    <w:basedOn w:val="1"/>
    <w:qFormat/>
    <w:uiPriority w:val="0"/>
    <w:pPr>
      <w:ind w:firstLine="420" w:firstLineChars="200"/>
    </w:pPr>
    <w:rPr>
      <w:rFonts w:ascii="Calibri" w:hAnsi="Calibri"/>
      <w:szCs w:val="22"/>
    </w:rPr>
  </w:style>
  <w:style w:type="paragraph" w:customStyle="1" w:styleId="96">
    <w:name w:val="h表"/>
    <w:basedOn w:val="1"/>
    <w:link w:val="143"/>
    <w:qFormat/>
    <w:uiPriority w:val="0"/>
    <w:pPr>
      <w:widowControl/>
      <w:spacing w:line="276" w:lineRule="auto"/>
      <w:ind w:left="3360" w:hanging="420"/>
      <w:jc w:val="center"/>
    </w:pPr>
    <w:rPr>
      <w:rFonts w:ascii="Times New Roman" w:eastAsia="仿宋_GB2312"/>
      <w:sz w:val="28"/>
      <w:szCs w:val="24"/>
    </w:rPr>
  </w:style>
  <w:style w:type="paragraph" w:customStyle="1" w:styleId="97">
    <w:name w:val="Char Char Char Char"/>
    <w:basedOn w:val="13"/>
    <w:qFormat/>
    <w:uiPriority w:val="0"/>
    <w:pPr>
      <w:adjustRightInd w:val="0"/>
      <w:snapToGrid w:val="0"/>
      <w:spacing w:line="360" w:lineRule="auto"/>
    </w:pPr>
    <w:rPr>
      <w:rFonts w:ascii="仿宋_GB2312" w:eastAsia="仿宋_GB2312"/>
      <w:sz w:val="24"/>
      <w:szCs w:val="24"/>
      <w:shd w:val="clear" w:color="auto" w:fill="000080"/>
    </w:rPr>
  </w:style>
  <w:style w:type="paragraph" w:customStyle="1" w:styleId="98">
    <w:name w:val="样式 首行缩进:  2 字符"/>
    <w:basedOn w:val="1"/>
    <w:qFormat/>
    <w:uiPriority w:val="0"/>
    <w:pPr>
      <w:spacing w:line="400" w:lineRule="exact"/>
      <w:ind w:firstLine="200" w:firstLineChars="200"/>
    </w:pPr>
    <w:rPr>
      <w:sz w:val="24"/>
    </w:rPr>
  </w:style>
  <w:style w:type="paragraph" w:customStyle="1" w:styleId="99">
    <w:name w:val="默认段落字体 Para Char Char Char Char Char Char Char Char Char1 Char Char Char Char"/>
    <w:basedOn w:val="1"/>
    <w:qFormat/>
    <w:uiPriority w:val="0"/>
    <w:rPr>
      <w:rFonts w:ascii="Tahoma" w:hAnsi="Tahoma"/>
      <w:sz w:val="24"/>
    </w:rPr>
  </w:style>
  <w:style w:type="paragraph" w:customStyle="1" w:styleId="100">
    <w:name w:val="Char21"/>
    <w:basedOn w:val="1"/>
    <w:qFormat/>
    <w:uiPriority w:val="0"/>
    <w:pPr>
      <w:widowControl/>
      <w:spacing w:after="160" w:line="240" w:lineRule="exact"/>
      <w:jc w:val="left"/>
    </w:pPr>
    <w:rPr>
      <w:rFonts w:ascii="Verdana" w:hAnsi="Verdana" w:eastAsia="仿宋_GB2312"/>
      <w:sz w:val="24"/>
      <w:lang w:eastAsia="en-US"/>
    </w:rPr>
  </w:style>
  <w:style w:type="paragraph" w:customStyle="1" w:styleId="101">
    <w:name w:val="正文缩进1"/>
    <w:basedOn w:val="1"/>
    <w:next w:val="1"/>
    <w:qFormat/>
    <w:uiPriority w:val="0"/>
    <w:pPr>
      <w:widowControl/>
      <w:ind w:firstLine="420"/>
    </w:pPr>
    <w:rPr>
      <w:color w:val="000000"/>
    </w:rPr>
  </w:style>
  <w:style w:type="paragraph" w:customStyle="1" w:styleId="102">
    <w:name w:val="table head"/>
    <w:basedOn w:val="1"/>
    <w:qFormat/>
    <w:uiPriority w:val="0"/>
    <w:pPr>
      <w:keepNext/>
      <w:keepLines/>
      <w:adjustRightInd w:val="0"/>
      <w:spacing w:line="312" w:lineRule="atLeast"/>
      <w:jc w:val="center"/>
      <w:textAlignment w:val="baseline"/>
    </w:pPr>
    <w:rPr>
      <w:b/>
    </w:rPr>
  </w:style>
  <w:style w:type="paragraph" w:customStyle="1" w:styleId="10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4">
    <w:name w:val="U_正文2"/>
    <w:basedOn w:val="1"/>
    <w:qFormat/>
    <w:uiPriority w:val="99"/>
    <w:pPr>
      <w:spacing w:beforeLines="10" w:afterLines="10" w:line="300" w:lineRule="auto"/>
    </w:pPr>
    <w:rPr>
      <w:sz w:val="24"/>
    </w:rPr>
  </w:style>
  <w:style w:type="paragraph" w:customStyle="1" w:styleId="10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06">
    <w:name w:val="plaintext"/>
    <w:basedOn w:val="1"/>
    <w:qFormat/>
    <w:uiPriority w:val="0"/>
    <w:pPr>
      <w:widowControl/>
      <w:spacing w:before="100" w:beforeAutospacing="1" w:after="100" w:afterAutospacing="1"/>
      <w:jc w:val="left"/>
    </w:pPr>
    <w:rPr>
      <w:rFonts w:hAnsi="宋体"/>
      <w:sz w:val="24"/>
    </w:rPr>
  </w:style>
  <w:style w:type="paragraph" w:customStyle="1" w:styleId="107">
    <w:name w:val="GW-标题9"/>
    <w:basedOn w:val="69"/>
    <w:qFormat/>
    <w:uiPriority w:val="0"/>
    <w:pPr>
      <w:outlineLvl w:val="8"/>
    </w:pPr>
  </w:style>
  <w:style w:type="paragraph" w:customStyle="1" w:styleId="108">
    <w:name w:val="Char"/>
    <w:basedOn w:val="1"/>
    <w:qFormat/>
    <w:uiPriority w:val="0"/>
    <w:pPr>
      <w:widowControl/>
      <w:spacing w:before="100" w:beforeAutospacing="1" w:after="100" w:afterAutospacing="1" w:line="360" w:lineRule="auto"/>
      <w:jc w:val="left"/>
    </w:pPr>
    <w:rPr>
      <w:b/>
      <w:sz w:val="32"/>
    </w:rPr>
  </w:style>
  <w:style w:type="paragraph" w:customStyle="1" w:styleId="109">
    <w:name w:val="Table Text"/>
    <w:basedOn w:val="1"/>
    <w:qFormat/>
    <w:uiPriority w:val="0"/>
    <w:pPr>
      <w:widowControl/>
      <w:spacing w:before="60" w:after="60"/>
      <w:jc w:val="left"/>
    </w:pPr>
  </w:style>
  <w:style w:type="paragraph" w:customStyle="1" w:styleId="110">
    <w:name w:val="标书正文格式"/>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111">
    <w:name w:val="正文文本 21"/>
    <w:basedOn w:val="1"/>
    <w:qFormat/>
    <w:uiPriority w:val="0"/>
    <w:pPr>
      <w:adjustRightInd w:val="0"/>
      <w:spacing w:line="300" w:lineRule="auto"/>
      <w:jc w:val="center"/>
      <w:textAlignment w:val="baseline"/>
    </w:pPr>
    <w:rPr>
      <w:rFonts w:hAnsi="宋体"/>
      <w:sz w:val="24"/>
    </w:rPr>
  </w:style>
  <w:style w:type="paragraph" w:customStyle="1" w:styleId="112">
    <w:name w:val="样式1"/>
    <w:basedOn w:val="1"/>
    <w:qFormat/>
    <w:uiPriority w:val="0"/>
    <w:pPr>
      <w:spacing w:line="360" w:lineRule="exact"/>
      <w:ind w:firstLine="200" w:firstLineChars="200"/>
    </w:pPr>
    <w:rPr>
      <w:sz w:val="24"/>
      <w:szCs w:val="24"/>
    </w:rPr>
  </w:style>
  <w:style w:type="paragraph" w:customStyle="1" w:styleId="113">
    <w:name w:val="Char5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1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15">
    <w:name w:val="p0"/>
    <w:basedOn w:val="1"/>
    <w:qFormat/>
    <w:uiPriority w:val="0"/>
    <w:pPr>
      <w:widowControl/>
      <w:spacing w:before="100" w:beforeAutospacing="1" w:after="100" w:afterAutospacing="1"/>
      <w:jc w:val="left"/>
    </w:pPr>
    <w:rPr>
      <w:rFonts w:hAnsi="宋体" w:cs="宋体"/>
      <w:sz w:val="24"/>
      <w:szCs w:val="24"/>
    </w:rPr>
  </w:style>
  <w:style w:type="paragraph" w:customStyle="1" w:styleId="116">
    <w:name w:val="Char Char Char Char Char Char"/>
    <w:basedOn w:val="1"/>
    <w:qFormat/>
    <w:uiPriority w:val="0"/>
    <w:rPr>
      <w:rFonts w:ascii="Tahoma" w:hAnsi="Tahoma"/>
      <w:sz w:val="24"/>
    </w:rPr>
  </w:style>
  <w:style w:type="paragraph" w:customStyle="1" w:styleId="117">
    <w:name w:val="列出段落2"/>
    <w:basedOn w:val="1"/>
    <w:qFormat/>
    <w:uiPriority w:val="34"/>
    <w:pPr>
      <w:ind w:firstLine="420" w:firstLineChars="200"/>
    </w:pPr>
    <w:rPr>
      <w:rFonts w:ascii="Calibri" w:hAnsi="Calibri"/>
      <w:szCs w:val="22"/>
    </w:rPr>
  </w:style>
  <w:style w:type="paragraph" w:customStyle="1" w:styleId="118">
    <w:name w:val="Char Char Char Char Char Char1 Char"/>
    <w:basedOn w:val="13"/>
    <w:qFormat/>
    <w:uiPriority w:val="0"/>
    <w:rPr>
      <w:rFonts w:ascii="Tahoma" w:hAnsi="Tahoma"/>
      <w:sz w:val="24"/>
    </w:rPr>
  </w:style>
  <w:style w:type="character" w:customStyle="1" w:styleId="119">
    <w:name w:val="批注框文本 Char Char"/>
    <w:qFormat/>
    <w:uiPriority w:val="0"/>
    <w:rPr>
      <w:sz w:val="18"/>
      <w:szCs w:val="18"/>
    </w:rPr>
  </w:style>
  <w:style w:type="character" w:customStyle="1" w:styleId="120">
    <w:name w:val="unnamed11"/>
    <w:qFormat/>
    <w:uiPriority w:val="0"/>
    <w:rPr>
      <w:rFonts w:hint="default" w:ascii="ˎ̥" w:hAnsi="ˎ̥"/>
      <w:sz w:val="14"/>
      <w:vertAlign w:val="superscript"/>
    </w:rPr>
  </w:style>
  <w:style w:type="character" w:customStyle="1" w:styleId="121">
    <w:name w:val="font12"/>
    <w:basedOn w:val="39"/>
    <w:qFormat/>
    <w:uiPriority w:val="0"/>
    <w:rPr>
      <w:rFonts w:hint="eastAsia" w:ascii="宋体" w:hAnsi="宋体" w:eastAsia="宋体" w:cs="宋体"/>
      <w:color w:val="000000"/>
      <w:sz w:val="18"/>
      <w:szCs w:val="18"/>
      <w:u w:val="none"/>
    </w:rPr>
  </w:style>
  <w:style w:type="character" w:customStyle="1" w:styleId="122">
    <w:name w:val="标题 9 字符"/>
    <w:link w:val="11"/>
    <w:qFormat/>
    <w:uiPriority w:val="0"/>
    <w:rPr>
      <w:rFonts w:ascii="Arial" w:hAnsi="Arial" w:eastAsia="黑体"/>
      <w:kern w:val="2"/>
      <w:sz w:val="21"/>
      <w:lang w:val="en-US" w:eastAsia="zh-CN" w:bidi="ar-SA"/>
    </w:rPr>
  </w:style>
  <w:style w:type="character" w:customStyle="1" w:styleId="123">
    <w:name w:val="表正文 Char1"/>
    <w:qFormat/>
    <w:uiPriority w:val="0"/>
    <w:rPr>
      <w:rFonts w:eastAsia="??"/>
      <w:kern w:val="2"/>
      <w:sz w:val="21"/>
      <w:szCs w:val="28"/>
      <w:lang w:val="en-US" w:eastAsia="zh-CN" w:bidi="ar-SA"/>
    </w:rPr>
  </w:style>
  <w:style w:type="character" w:customStyle="1" w:styleId="124">
    <w:name w:val="页眉 字符"/>
    <w:basedOn w:val="39"/>
    <w:link w:val="26"/>
    <w:qFormat/>
    <w:uiPriority w:val="99"/>
    <w:rPr>
      <w:rFonts w:ascii="宋体"/>
      <w:b/>
      <w:kern w:val="2"/>
      <w:sz w:val="32"/>
    </w:rPr>
  </w:style>
  <w:style w:type="character" w:customStyle="1" w:styleId="125">
    <w:name w:val="font71"/>
    <w:basedOn w:val="39"/>
    <w:qFormat/>
    <w:uiPriority w:val="0"/>
    <w:rPr>
      <w:rFonts w:hint="eastAsia" w:ascii="宋体" w:hAnsi="宋体" w:eastAsia="宋体" w:cs="宋体"/>
      <w:color w:val="333333"/>
      <w:sz w:val="18"/>
      <w:szCs w:val="18"/>
      <w:u w:val="none"/>
    </w:rPr>
  </w:style>
  <w:style w:type="character" w:customStyle="1" w:styleId="126">
    <w:name w:val="标题 8 字符"/>
    <w:link w:val="10"/>
    <w:qFormat/>
    <w:uiPriority w:val="0"/>
    <w:rPr>
      <w:rFonts w:ascii="Arial" w:hAnsi="Arial" w:eastAsia="黑体"/>
      <w:kern w:val="2"/>
      <w:sz w:val="24"/>
      <w:lang w:val="en-US" w:eastAsia="zh-CN" w:bidi="ar-SA"/>
    </w:rPr>
  </w:style>
  <w:style w:type="character" w:customStyle="1" w:styleId="127">
    <w:name w:val="font"/>
    <w:basedOn w:val="39"/>
    <w:qFormat/>
    <w:uiPriority w:val="0"/>
  </w:style>
  <w:style w:type="character" w:customStyle="1" w:styleId="128">
    <w:name w:val="text"/>
    <w:basedOn w:val="39"/>
    <w:qFormat/>
    <w:uiPriority w:val="0"/>
  </w:style>
  <w:style w:type="character" w:customStyle="1" w:styleId="129">
    <w:name w:val="页眉 Char Char"/>
    <w:qFormat/>
    <w:uiPriority w:val="0"/>
    <w:rPr>
      <w:rFonts w:eastAsia="宋体"/>
      <w:kern w:val="2"/>
      <w:sz w:val="18"/>
      <w:szCs w:val="18"/>
      <w:lang w:val="en-US" w:eastAsia="zh-CN" w:bidi="ar-SA"/>
    </w:rPr>
  </w:style>
  <w:style w:type="character" w:customStyle="1" w:styleId="130">
    <w:name w:val="Char Char1"/>
    <w:qFormat/>
    <w:uiPriority w:val="0"/>
    <w:rPr>
      <w:rFonts w:eastAsia="宋体"/>
      <w:b/>
      <w:kern w:val="2"/>
      <w:sz w:val="32"/>
      <w:lang w:val="en-US" w:eastAsia="zh-CN"/>
    </w:rPr>
  </w:style>
  <w:style w:type="character" w:customStyle="1" w:styleId="131">
    <w:name w:val="GW-标题2 Char Char"/>
    <w:link w:val="82"/>
    <w:qFormat/>
    <w:uiPriority w:val="0"/>
    <w:rPr>
      <w:rFonts w:ascii="Calibri" w:hAnsi="Calibri" w:eastAsia="仿宋_GB2312"/>
      <w:b/>
      <w:bCs/>
      <w:kern w:val="44"/>
      <w:sz w:val="36"/>
      <w:szCs w:val="44"/>
    </w:rPr>
  </w:style>
  <w:style w:type="character" w:customStyle="1" w:styleId="132">
    <w:name w:val="正文首行缩进两字符 Char Char"/>
    <w:link w:val="84"/>
    <w:qFormat/>
    <w:uiPriority w:val="0"/>
    <w:rPr>
      <w:rFonts w:eastAsia="宋体"/>
      <w:kern w:val="2"/>
      <w:sz w:val="21"/>
      <w:lang w:val="en-US" w:eastAsia="zh-CN"/>
    </w:rPr>
  </w:style>
  <w:style w:type="character" w:customStyle="1" w:styleId="133">
    <w:name w:val="标题 2 Char Char"/>
    <w:qFormat/>
    <w:uiPriority w:val="0"/>
    <w:rPr>
      <w:rFonts w:ascii="Cambria" w:hAnsi="Cambria"/>
      <w:b/>
      <w:bCs/>
      <w:kern w:val="2"/>
      <w:sz w:val="32"/>
      <w:szCs w:val="32"/>
    </w:rPr>
  </w:style>
  <w:style w:type="character" w:customStyle="1" w:styleId="134">
    <w:name w:val="文字样式 Char Char"/>
    <w:link w:val="86"/>
    <w:qFormat/>
    <w:uiPriority w:val="0"/>
    <w:rPr>
      <w:rFonts w:eastAsia="宋体"/>
      <w:kern w:val="2"/>
      <w:sz w:val="24"/>
      <w:lang w:val="en-US" w:eastAsia="zh-CN"/>
    </w:rPr>
  </w:style>
  <w:style w:type="character" w:customStyle="1" w:styleId="135">
    <w:name w:val="font101"/>
    <w:basedOn w:val="39"/>
    <w:qFormat/>
    <w:uiPriority w:val="0"/>
    <w:rPr>
      <w:rFonts w:hint="eastAsia" w:ascii="宋体" w:hAnsi="宋体" w:eastAsia="宋体" w:cs="宋体"/>
      <w:color w:val="000000"/>
      <w:sz w:val="18"/>
      <w:szCs w:val="18"/>
      <w:u w:val="none"/>
    </w:rPr>
  </w:style>
  <w:style w:type="character" w:customStyle="1" w:styleId="136">
    <w:name w:val="Heading 2 Hidden Char1"/>
    <w:qFormat/>
    <w:uiPriority w:val="0"/>
    <w:rPr>
      <w:rFonts w:ascii="Arial" w:hAnsi="Arial" w:eastAsia="黑体"/>
      <w:b/>
      <w:kern w:val="2"/>
      <w:sz w:val="28"/>
      <w:lang w:val="en-US" w:eastAsia="zh-CN" w:bidi="ar-SA"/>
    </w:rPr>
  </w:style>
  <w:style w:type="character" w:customStyle="1" w:styleId="137">
    <w:name w:val="bigheadbl1"/>
    <w:qFormat/>
    <w:uiPriority w:val="0"/>
    <w:rPr>
      <w:b/>
      <w:color w:val="000000"/>
      <w:sz w:val="21"/>
    </w:rPr>
  </w:style>
  <w:style w:type="character" w:customStyle="1" w:styleId="138">
    <w:name w:val="批注框文本 字符"/>
    <w:link w:val="24"/>
    <w:qFormat/>
    <w:uiPriority w:val="0"/>
    <w:rPr>
      <w:rFonts w:eastAsia="宋体"/>
      <w:kern w:val="2"/>
      <w:sz w:val="18"/>
      <w:szCs w:val="18"/>
      <w:lang w:val="en-US" w:eastAsia="zh-CN" w:bidi="ar-SA"/>
    </w:rPr>
  </w:style>
  <w:style w:type="character" w:customStyle="1" w:styleId="139">
    <w:name w:val="页脚 字符"/>
    <w:link w:val="25"/>
    <w:qFormat/>
    <w:uiPriority w:val="99"/>
    <w:rPr>
      <w:sz w:val="18"/>
      <w:szCs w:val="18"/>
    </w:rPr>
  </w:style>
  <w:style w:type="character" w:customStyle="1" w:styleId="140">
    <w:name w:val="标题 7 字符"/>
    <w:link w:val="9"/>
    <w:qFormat/>
    <w:uiPriority w:val="0"/>
    <w:rPr>
      <w:rFonts w:eastAsia="宋体"/>
      <w:b/>
      <w:kern w:val="2"/>
      <w:sz w:val="24"/>
      <w:lang w:val="en-US" w:eastAsia="zh-CN" w:bidi="ar-SA"/>
    </w:rPr>
  </w:style>
  <w:style w:type="character" w:customStyle="1" w:styleId="141">
    <w:name w:val="unnamed31"/>
    <w:qFormat/>
    <w:uiPriority w:val="0"/>
    <w:rPr>
      <w:sz w:val="22"/>
    </w:rPr>
  </w:style>
  <w:style w:type="character" w:customStyle="1" w:styleId="142">
    <w:name w:val="正文缩进 字符"/>
    <w:link w:val="5"/>
    <w:qFormat/>
    <w:uiPriority w:val="0"/>
    <w:rPr>
      <w:rFonts w:eastAsia="宋体"/>
      <w:kern w:val="2"/>
      <w:sz w:val="21"/>
      <w:lang w:val="en-US" w:eastAsia="zh-CN" w:bidi="ar-SA"/>
    </w:rPr>
  </w:style>
  <w:style w:type="character" w:customStyle="1" w:styleId="143">
    <w:name w:val="h表 Char Char"/>
    <w:link w:val="96"/>
    <w:qFormat/>
    <w:uiPriority w:val="0"/>
    <w:rPr>
      <w:rFonts w:eastAsia="仿宋_GB2312"/>
      <w:sz w:val="28"/>
      <w:szCs w:val="24"/>
      <w:lang w:bidi="ar-SA"/>
    </w:rPr>
  </w:style>
  <w:style w:type="character" w:customStyle="1" w:styleId="144">
    <w:name w:val="font1"/>
    <w:qFormat/>
    <w:uiPriority w:val="0"/>
    <w:rPr>
      <w:color w:val="999999"/>
      <w:sz w:val="18"/>
      <w:u w:val="none"/>
    </w:rPr>
  </w:style>
  <w:style w:type="character" w:customStyle="1" w:styleId="145">
    <w:name w:val="GW-正文 Char Char"/>
    <w:link w:val="63"/>
    <w:qFormat/>
    <w:uiPriority w:val="0"/>
    <w:rPr>
      <w:rFonts w:eastAsia="仿宋_GB2312"/>
      <w:sz w:val="24"/>
      <w:szCs w:val="24"/>
      <w:lang w:bidi="ar-SA"/>
    </w:rPr>
  </w:style>
  <w:style w:type="character" w:customStyle="1" w:styleId="146">
    <w:name w:val="font81"/>
    <w:basedOn w:val="39"/>
    <w:qFormat/>
    <w:uiPriority w:val="0"/>
    <w:rPr>
      <w:rFonts w:hint="eastAsia" w:ascii="宋体" w:hAnsi="宋体" w:eastAsia="宋体" w:cs="宋体"/>
      <w:color w:val="333333"/>
      <w:sz w:val="18"/>
      <w:szCs w:val="18"/>
      <w:u w:val="none"/>
    </w:rPr>
  </w:style>
  <w:style w:type="character" w:customStyle="1" w:styleId="147">
    <w:name w:val="font91"/>
    <w:basedOn w:val="39"/>
    <w:qFormat/>
    <w:uiPriority w:val="0"/>
    <w:rPr>
      <w:rFonts w:hint="eastAsia" w:ascii="宋体" w:hAnsi="宋体" w:eastAsia="宋体" w:cs="宋体"/>
      <w:color w:val="000000"/>
      <w:sz w:val="18"/>
      <w:szCs w:val="18"/>
      <w:u w:val="none"/>
    </w:rPr>
  </w:style>
  <w:style w:type="character" w:customStyle="1" w:styleId="148">
    <w:name w:val="Normal Indent Char"/>
    <w:qFormat/>
    <w:uiPriority w:val="0"/>
    <w:rPr>
      <w:rFonts w:cs="Times New Roman"/>
    </w:rPr>
  </w:style>
  <w:style w:type="character" w:customStyle="1" w:styleId="149">
    <w:name w:val="Char Char9"/>
    <w:qFormat/>
    <w:uiPriority w:val="0"/>
    <w:rPr>
      <w:rFonts w:eastAsia="宋体"/>
      <w:kern w:val="2"/>
      <w:sz w:val="21"/>
      <w:lang w:val="en-US" w:eastAsia="zh-CN" w:bidi="ar-SA"/>
    </w:rPr>
  </w:style>
  <w:style w:type="character" w:customStyle="1" w:styleId="150">
    <w:name w:val="textnorm_chn1"/>
    <w:qFormat/>
    <w:uiPriority w:val="0"/>
    <w:rPr>
      <w:rFonts w:hint="default" w:ascii="Arial" w:hAnsi="Arial"/>
      <w:color w:val="21254A"/>
      <w:sz w:val="22"/>
    </w:rPr>
  </w:style>
  <w:style w:type="character" w:customStyle="1" w:styleId="151">
    <w:name w:val="GW-标题3 Char Char"/>
    <w:link w:val="65"/>
    <w:qFormat/>
    <w:uiPriority w:val="0"/>
    <w:rPr>
      <w:rFonts w:ascii="仿宋_GB2312" w:hAnsi="Calibri" w:eastAsia="仿宋_GB2312"/>
      <w:b/>
      <w:bCs/>
      <w:kern w:val="2"/>
      <w:sz w:val="32"/>
      <w:szCs w:val="24"/>
    </w:rPr>
  </w:style>
  <w:style w:type="character" w:customStyle="1" w:styleId="152">
    <w:name w:val="HTML 预设格式 字符"/>
    <w:link w:val="31"/>
    <w:qFormat/>
    <w:uiPriority w:val="0"/>
    <w:rPr>
      <w:rFonts w:ascii="宋体" w:hAnsi="宋体"/>
      <w:kern w:val="0"/>
      <w:sz w:val="24"/>
      <w:szCs w:val="24"/>
      <w:lang w:eastAsia="en-US"/>
    </w:rPr>
  </w:style>
  <w:style w:type="character" w:customStyle="1" w:styleId="153">
    <w:name w:val="标题 3 Char Char Char"/>
    <w:qFormat/>
    <w:uiPriority w:val="0"/>
    <w:rPr>
      <w:rFonts w:eastAsia="宋体"/>
      <w:b/>
      <w:kern w:val="2"/>
      <w:sz w:val="32"/>
      <w:lang w:val="en-US" w:eastAsia="zh-CN"/>
    </w:rPr>
  </w:style>
  <w:style w:type="character" w:customStyle="1" w:styleId="154">
    <w:name w:val="Char Char12"/>
    <w:qFormat/>
    <w:uiPriority w:val="0"/>
    <w:rPr>
      <w:rFonts w:ascii="Arial" w:hAnsi="Arial" w:eastAsia="黑体"/>
      <w:b/>
      <w:kern w:val="2"/>
      <w:sz w:val="28"/>
      <w:lang w:val="en-US" w:eastAsia="zh-CN" w:bidi="ar-SA"/>
    </w:rPr>
  </w:style>
  <w:style w:type="character" w:customStyle="1" w:styleId="155">
    <w:name w:val="lxs1"/>
    <w:qFormat/>
    <w:uiPriority w:val="0"/>
    <w:rPr>
      <w:rFonts w:hint="default" w:ascii="ˎ̥" w:hAnsi="ˎ̥"/>
      <w:sz w:val="21"/>
    </w:rPr>
  </w:style>
  <w:style w:type="character" w:customStyle="1" w:styleId="156">
    <w:name w:val="文档结构图 字符"/>
    <w:link w:val="13"/>
    <w:qFormat/>
    <w:uiPriority w:val="0"/>
    <w:rPr>
      <w:rFonts w:eastAsia="宋体"/>
      <w:kern w:val="2"/>
      <w:sz w:val="21"/>
      <w:lang w:val="en-US" w:eastAsia="zh-CN" w:bidi="ar-SA"/>
    </w:rPr>
  </w:style>
  <w:style w:type="character" w:customStyle="1" w:styleId="157">
    <w:name w:val="font41"/>
    <w:basedOn w:val="39"/>
    <w:qFormat/>
    <w:uiPriority w:val="0"/>
    <w:rPr>
      <w:rFonts w:hint="eastAsia" w:ascii="宋体" w:hAnsi="宋体" w:eastAsia="宋体" w:cs="宋体"/>
      <w:color w:val="000000"/>
      <w:sz w:val="18"/>
      <w:szCs w:val="18"/>
      <w:u w:val="none"/>
    </w:rPr>
  </w:style>
  <w:style w:type="character" w:customStyle="1" w:styleId="158">
    <w:name w:val="批注文字 字符"/>
    <w:basedOn w:val="39"/>
    <w:link w:val="15"/>
    <w:qFormat/>
    <w:uiPriority w:val="0"/>
    <w:rPr>
      <w:rFonts w:ascii="宋体"/>
      <w:sz w:val="34"/>
      <w:szCs w:val="24"/>
    </w:rPr>
  </w:style>
  <w:style w:type="paragraph" w:styleId="159">
    <w:name w:val="List Paragraph"/>
    <w:basedOn w:val="1"/>
    <w:qFormat/>
    <w:uiPriority w:val="34"/>
    <w:pPr>
      <w:ind w:firstLine="420" w:firstLineChars="200"/>
    </w:pPr>
  </w:style>
  <w:style w:type="character" w:customStyle="1" w:styleId="160">
    <w:name w:val="正文文本 字符"/>
    <w:basedOn w:val="39"/>
    <w:link w:val="17"/>
    <w:qFormat/>
    <w:uiPriority w:val="99"/>
    <w:rPr>
      <w:rFonts w:ascii="宋体"/>
      <w:sz w:val="34"/>
    </w:rPr>
  </w:style>
  <w:style w:type="character" w:customStyle="1" w:styleId="161">
    <w:name w:val="font01"/>
    <w:basedOn w:val="39"/>
    <w:qFormat/>
    <w:uiPriority w:val="0"/>
    <w:rPr>
      <w:rFonts w:hint="eastAsia" w:ascii="宋体" w:hAnsi="宋体" w:eastAsia="宋体" w:cs="宋体"/>
      <w:color w:val="000000"/>
      <w:sz w:val="22"/>
      <w:szCs w:val="22"/>
      <w:u w:val="none"/>
    </w:rPr>
  </w:style>
  <w:style w:type="character" w:customStyle="1" w:styleId="162">
    <w:name w:val="font61"/>
    <w:basedOn w:val="39"/>
    <w:qFormat/>
    <w:uiPriority w:val="0"/>
    <w:rPr>
      <w:rFonts w:ascii="Calibri" w:hAnsi="Calibri" w:cs="Calibri"/>
      <w:color w:val="000000"/>
      <w:sz w:val="22"/>
      <w:szCs w:val="22"/>
      <w:u w:val="none"/>
    </w:rPr>
  </w:style>
  <w:style w:type="paragraph" w:customStyle="1" w:styleId="16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4">
    <w:name w:val="font11"/>
    <w:basedOn w:val="39"/>
    <w:qFormat/>
    <w:uiPriority w:val="0"/>
    <w:rPr>
      <w:rFonts w:hint="default" w:ascii="等线" w:hAnsi="等线" w:eastAsia="等线" w:cs="等线"/>
      <w:color w:val="000000"/>
      <w:sz w:val="22"/>
      <w:szCs w:val="22"/>
      <w:u w:val="none"/>
    </w:rPr>
  </w:style>
  <w:style w:type="character" w:customStyle="1" w:styleId="165">
    <w:name w:val="font51"/>
    <w:basedOn w:val="39"/>
    <w:qFormat/>
    <w:uiPriority w:val="0"/>
    <w:rPr>
      <w:rFonts w:hint="default" w:ascii="等线" w:hAnsi="等线" w:eastAsia="等线" w:cs="等线"/>
      <w:b/>
      <w:color w:val="000000"/>
      <w:sz w:val="22"/>
      <w:szCs w:val="22"/>
      <w:u w:val="none"/>
    </w:rPr>
  </w:style>
  <w:style w:type="character" w:customStyle="1" w:styleId="166">
    <w:name w:val="img"/>
    <w:basedOn w:val="39"/>
    <w:qFormat/>
    <w:uiPriority w:val="0"/>
  </w:style>
  <w:style w:type="character" w:customStyle="1" w:styleId="167">
    <w:name w:val="img1"/>
    <w:basedOn w:val="39"/>
    <w:qFormat/>
    <w:uiPriority w:val="0"/>
  </w:style>
  <w:style w:type="paragraph" w:customStyle="1" w:styleId="168">
    <w:name w:val="!表格正文"/>
    <w:basedOn w:val="1"/>
    <w:qFormat/>
    <w:uiPriority w:val="0"/>
    <w:pPr>
      <w:tabs>
        <w:tab w:val="left" w:pos="472"/>
      </w:tabs>
      <w:jc w:val="center"/>
    </w:pPr>
    <w:rPr>
      <w:rFonts w:ascii="Times New Roman"/>
      <w:bCs/>
      <w:sz w:val="24"/>
      <w:lang w:eastAsia="en-US"/>
    </w:rPr>
  </w:style>
  <w:style w:type="character" w:customStyle="1" w:styleId="169">
    <w:name w:val="active"/>
    <w:basedOn w:val="39"/>
    <w:qFormat/>
    <w:uiPriority w:val="0"/>
    <w:rPr>
      <w:shd w:val="clear" w:color="auto" w:fill="FFFFFF"/>
    </w:rPr>
  </w:style>
  <w:style w:type="character" w:customStyle="1" w:styleId="170">
    <w:name w:val="active1"/>
    <w:basedOn w:val="39"/>
    <w:qFormat/>
    <w:uiPriority w:val="0"/>
    <w:rPr>
      <w:shd w:val="clear" w:color="auto" w:fill="FFFFFF"/>
    </w:rPr>
  </w:style>
  <w:style w:type="character" w:customStyle="1" w:styleId="171">
    <w:name w:val="icon"/>
    <w:basedOn w:val="39"/>
    <w:qFormat/>
    <w:uiPriority w:val="0"/>
  </w:style>
  <w:style w:type="character" w:customStyle="1" w:styleId="172">
    <w:name w:val="hover15"/>
    <w:basedOn w:val="39"/>
    <w:qFormat/>
    <w:uiPriority w:val="0"/>
    <w:rPr>
      <w:bdr w:val="single" w:color="999999" w:sz="6" w:space="0"/>
    </w:rPr>
  </w:style>
  <w:style w:type="character" w:customStyle="1" w:styleId="173">
    <w:name w:val="generalinfo-address-text1"/>
    <w:basedOn w:val="39"/>
    <w:qFormat/>
    <w:uiPriority w:val="0"/>
    <w:rPr>
      <w:sz w:val="18"/>
      <w:szCs w:val="18"/>
    </w:rPr>
  </w:style>
  <w:style w:type="paragraph" w:customStyle="1" w:styleId="174">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sz w:val="20"/>
      <w:szCs w:val="24"/>
    </w:rPr>
  </w:style>
  <w:style w:type="character" w:customStyle="1" w:styleId="175">
    <w:name w:val="NormalCharacter"/>
    <w:qFormat/>
    <w:uiPriority w:val="0"/>
    <w:rPr>
      <w:rFonts w:ascii="宋体" w:hAnsi="Times New Roman" w:eastAsia="宋体" w:cs="Times New Roman"/>
      <w:sz w:val="34"/>
      <w:lang w:val="en-US" w:eastAsia="zh-CN" w:bidi="ar-SA"/>
    </w:rPr>
  </w:style>
  <w:style w:type="paragraph" w:customStyle="1" w:styleId="17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71</Pages>
  <Words>35542</Words>
  <Characters>45893</Characters>
  <Lines>75</Lines>
  <Paragraphs>21</Paragraphs>
  <TotalTime>8</TotalTime>
  <ScaleCrop>false</ScaleCrop>
  <LinksUpToDate>false</LinksUpToDate>
  <CharactersWithSpaces>46726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2020-05-19T09:40:00Z</dcterms:created>
  <dc:creator>项目二组</dc:creator>
  <cp:lastModifiedBy>蕾羞 ～</cp:lastModifiedBy>
  <cp:lastPrinted>2019-09-09T08:12:00Z</cp:lastPrinted>
  <dcterms:modified xsi:type="dcterms:W3CDTF">2024-07-11T03:02:54Z</dcterms:modified>
  <dc:title>项目二组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E3C2C907AFFD4CFF8CA822CF1F0B52AB_13</vt:lpwstr>
  </property>
</Properties>
</file>