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F147A">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14:paraId="58E4F65D">
      <w:pPr>
        <w:pStyle w:val="5"/>
        <w:bidi w:val="0"/>
        <w:jc w:val="center"/>
        <w:rPr>
          <w:rFonts w:hint="eastAsia"/>
          <w:sz w:val="44"/>
          <w:szCs w:val="44"/>
          <w:lang w:val="en-US" w:eastAsia="zh-CN"/>
        </w:rPr>
      </w:pPr>
      <w:r>
        <w:rPr>
          <w:rFonts w:hint="eastAsia"/>
          <w:sz w:val="44"/>
          <w:szCs w:val="44"/>
          <w:lang w:val="en-US" w:eastAsia="zh-CN"/>
        </w:rPr>
        <w:t>2024年-2025年电梯维护服务采购项目</w:t>
      </w:r>
    </w:p>
    <w:p w14:paraId="39856E90">
      <w:pPr>
        <w:pStyle w:val="5"/>
        <w:bidi w:val="0"/>
        <w:jc w:val="center"/>
        <w:rPr>
          <w:rFonts w:hint="default"/>
          <w:sz w:val="44"/>
          <w:szCs w:val="44"/>
          <w:lang w:eastAsia="zh-CN"/>
        </w:rPr>
      </w:pPr>
      <w:r>
        <w:rPr>
          <w:rFonts w:hint="eastAsia"/>
          <w:sz w:val="44"/>
          <w:szCs w:val="44"/>
          <w:lang w:val="en-US" w:eastAsia="zh-CN"/>
        </w:rPr>
        <w:t>竞争性谈判</w:t>
      </w:r>
      <w:r>
        <w:rPr>
          <w:rFonts w:hint="eastAsia"/>
          <w:sz w:val="44"/>
          <w:szCs w:val="44"/>
          <w:lang w:eastAsia="zh-CN"/>
        </w:rPr>
        <w:t>采购公告</w:t>
      </w:r>
    </w:p>
    <w:p w14:paraId="3C502D73">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14:paraId="16C299AF">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u w:val="single"/>
          <w:lang w:val="en-US" w:eastAsia="zh-CN"/>
        </w:rPr>
        <w:t>2024年-2025年电梯维护服务采购项目</w:t>
      </w:r>
      <w:r>
        <w:rPr>
          <w:rFonts w:hint="eastAsia" w:ascii="Arial Black" w:hAnsi="Arial Black" w:cs="Arial Black"/>
          <w:b w:val="0"/>
          <w:bCs w:val="0"/>
          <w:sz w:val="28"/>
          <w:szCs w:val="28"/>
          <w:lang w:eastAsia="zh-CN"/>
        </w:rPr>
        <w:t>进行竞争性谈判，</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7月底</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14:paraId="4B9796A8">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14:paraId="4F61B72E">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w:t>
      </w:r>
      <w:r>
        <w:rPr>
          <w:rFonts w:hint="eastAsia" w:ascii="仿宋" w:hAnsi="仿宋" w:eastAsia="仿宋" w:cs="仿宋"/>
          <w:bCs/>
          <w:color w:val="auto"/>
          <w:sz w:val="28"/>
          <w:szCs w:val="28"/>
          <w:lang w:eastAsia="zh-CN"/>
        </w:rPr>
        <w:t>医院</w:t>
      </w:r>
      <w:r>
        <w:rPr>
          <w:rFonts w:hint="eastAsia" w:ascii="Arial Black" w:hAnsi="Arial Black" w:cs="Arial Black"/>
          <w:b w:val="0"/>
          <w:bCs w:val="0"/>
          <w:sz w:val="28"/>
          <w:szCs w:val="28"/>
          <w:u w:val="single"/>
          <w:lang w:val="en-US" w:eastAsia="zh-CN"/>
        </w:rPr>
        <w:t>2024年-2025年电梯维护服务采购项目</w:t>
      </w:r>
      <w:r>
        <w:rPr>
          <w:rFonts w:hint="eastAsia" w:ascii="仿宋" w:hAnsi="仿宋" w:eastAsia="仿宋" w:cs="仿宋"/>
          <w:bCs/>
          <w:sz w:val="28"/>
          <w:szCs w:val="28"/>
          <w:lang w:eastAsia="zh-CN"/>
        </w:rPr>
        <w:t>。</w:t>
      </w:r>
    </w:p>
    <w:p w14:paraId="6666602A">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14:paraId="116D8880">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5.8万元</w:t>
      </w:r>
      <w:r>
        <w:rPr>
          <w:rFonts w:hint="default" w:ascii="仿宋" w:hAnsi="仿宋" w:eastAsia="仿宋" w:cs="仿宋"/>
          <w:bCs/>
          <w:sz w:val="28"/>
          <w:szCs w:val="28"/>
          <w:lang w:eastAsia="zh-CN"/>
        </w:rPr>
        <w:t>。</w:t>
      </w:r>
    </w:p>
    <w:tbl>
      <w:tblPr>
        <w:tblStyle w:val="16"/>
        <w:tblW w:w="929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950"/>
        <w:gridCol w:w="2582"/>
        <w:gridCol w:w="1788"/>
        <w:gridCol w:w="995"/>
      </w:tblGrid>
      <w:tr w14:paraId="1FDA1AC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3" w:type="dxa"/>
            <w:tcBorders>
              <w:tl2br w:val="nil"/>
              <w:tr2bl w:val="nil"/>
            </w:tcBorders>
          </w:tcPr>
          <w:p w14:paraId="51B7F06F">
            <w:pPr>
              <w:spacing w:after="120" w:afterLines="50" w:line="240" w:lineRule="auto"/>
              <w:jc w:val="center"/>
              <w:rPr>
                <w:rFonts w:hint="eastAsia"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品目号</w:t>
            </w:r>
          </w:p>
        </w:tc>
        <w:tc>
          <w:tcPr>
            <w:tcW w:w="2950" w:type="dxa"/>
            <w:tcBorders>
              <w:tl2br w:val="nil"/>
              <w:tr2bl w:val="nil"/>
            </w:tcBorders>
          </w:tcPr>
          <w:p w14:paraId="549FC40C">
            <w:pPr>
              <w:spacing w:after="120" w:afterLines="50" w:line="240" w:lineRule="auto"/>
              <w:ind w:firstLine="211" w:firstLineChars="100"/>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服务内容</w:t>
            </w:r>
          </w:p>
        </w:tc>
        <w:tc>
          <w:tcPr>
            <w:tcW w:w="2582" w:type="dxa"/>
            <w:tcBorders>
              <w:tl2br w:val="nil"/>
              <w:tr2bl w:val="nil"/>
            </w:tcBorders>
          </w:tcPr>
          <w:p w14:paraId="47558538">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预算金额/最高限价</w:t>
            </w:r>
          </w:p>
          <w:p w14:paraId="731CD640">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（万元）</w:t>
            </w:r>
          </w:p>
        </w:tc>
        <w:tc>
          <w:tcPr>
            <w:tcW w:w="1788" w:type="dxa"/>
            <w:tcBorders>
              <w:tl2br w:val="nil"/>
              <w:tr2bl w:val="nil"/>
            </w:tcBorders>
          </w:tcPr>
          <w:p w14:paraId="18512253">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服务期</w:t>
            </w:r>
          </w:p>
        </w:tc>
        <w:tc>
          <w:tcPr>
            <w:tcW w:w="995" w:type="dxa"/>
            <w:tcBorders>
              <w:tl2br w:val="nil"/>
              <w:tr2bl w:val="nil"/>
            </w:tcBorders>
          </w:tcPr>
          <w:p w14:paraId="2A6A5F91">
            <w:pPr>
              <w:spacing w:after="120" w:afterLines="50" w:line="240" w:lineRule="auto"/>
              <w:jc w:val="center"/>
              <w:rPr>
                <w:rFonts w:hint="eastAsia"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备注</w:t>
            </w:r>
          </w:p>
        </w:tc>
      </w:tr>
      <w:tr w14:paraId="26FE66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83" w:type="dxa"/>
            <w:tcBorders>
              <w:tl2br w:val="nil"/>
              <w:tr2bl w:val="nil"/>
            </w:tcBorders>
          </w:tcPr>
          <w:p w14:paraId="0D6E671B">
            <w:pPr>
              <w:spacing w:after="120" w:afterLines="50" w:line="420" w:lineRule="exact"/>
              <w:jc w:val="both"/>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01-01</w:t>
            </w:r>
          </w:p>
        </w:tc>
        <w:tc>
          <w:tcPr>
            <w:tcW w:w="2950" w:type="dxa"/>
            <w:tcBorders>
              <w:tl2br w:val="nil"/>
              <w:tr2bl w:val="nil"/>
            </w:tcBorders>
          </w:tcPr>
          <w:p w14:paraId="5C94ED65">
            <w:pPr>
              <w:spacing w:after="120" w:afterLines="50" w:line="420" w:lineRule="exact"/>
              <w:jc w:val="center"/>
              <w:rPr>
                <w:rFonts w:hint="default" w:ascii="仿宋" w:hAnsi="仿宋" w:eastAsia="仿宋"/>
                <w:b w:val="0"/>
                <w:bCs w:val="0"/>
                <w:sz w:val="21"/>
                <w:szCs w:val="21"/>
                <w:vertAlign w:val="baseline"/>
                <w:lang w:val="en-US" w:eastAsia="zh-CN"/>
              </w:rPr>
            </w:pPr>
            <w:r>
              <w:rPr>
                <w:rFonts w:hint="default" w:ascii="仿宋" w:hAnsi="仿宋" w:eastAsia="仿宋"/>
                <w:b w:val="0"/>
                <w:bCs w:val="0"/>
                <w:sz w:val="21"/>
                <w:szCs w:val="21"/>
                <w:vertAlign w:val="baseline"/>
                <w:lang w:val="en-US" w:eastAsia="zh-CN"/>
              </w:rPr>
              <w:t>电梯维护保养服务</w:t>
            </w:r>
          </w:p>
        </w:tc>
        <w:tc>
          <w:tcPr>
            <w:tcW w:w="2582" w:type="dxa"/>
            <w:tcBorders>
              <w:tl2br w:val="nil"/>
              <w:tr2bl w:val="nil"/>
            </w:tcBorders>
          </w:tcPr>
          <w:p w14:paraId="1CD87A91">
            <w:pPr>
              <w:spacing w:after="120" w:afterLines="50" w:line="420" w:lineRule="exact"/>
              <w:jc w:val="center"/>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5.8</w:t>
            </w:r>
          </w:p>
        </w:tc>
        <w:tc>
          <w:tcPr>
            <w:tcW w:w="1788" w:type="dxa"/>
            <w:tcBorders>
              <w:tl2br w:val="nil"/>
              <w:tr2bl w:val="nil"/>
            </w:tcBorders>
          </w:tcPr>
          <w:p w14:paraId="473B5FE1">
            <w:pPr>
              <w:spacing w:after="120" w:afterLines="50" w:line="420" w:lineRule="exact"/>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合同签订后1年</w:t>
            </w:r>
          </w:p>
        </w:tc>
        <w:tc>
          <w:tcPr>
            <w:tcW w:w="995" w:type="dxa"/>
            <w:tcBorders>
              <w:tl2br w:val="nil"/>
              <w:tr2bl w:val="nil"/>
            </w:tcBorders>
          </w:tcPr>
          <w:p w14:paraId="7A0C473E">
            <w:pPr>
              <w:spacing w:after="120" w:afterLines="50" w:line="420" w:lineRule="exact"/>
              <w:rPr>
                <w:rFonts w:hint="eastAsia" w:ascii="仿宋" w:hAnsi="仿宋" w:eastAsia="仿宋"/>
                <w:b w:val="0"/>
                <w:bCs w:val="0"/>
                <w:sz w:val="21"/>
                <w:szCs w:val="21"/>
                <w:vertAlign w:val="baseline"/>
              </w:rPr>
            </w:pPr>
          </w:p>
        </w:tc>
      </w:tr>
    </w:tbl>
    <w:p w14:paraId="590D3D71">
      <w:pPr>
        <w:jc w:val="left"/>
        <w:rPr>
          <w:rFonts w:hint="default" w:ascii="Arial Black" w:hAnsi="Arial Black" w:cs="Arial Black"/>
          <w:b/>
          <w:bCs/>
          <w:sz w:val="28"/>
          <w:szCs w:val="28"/>
          <w:lang w:eastAsia="zh-CN"/>
        </w:rPr>
      </w:pPr>
    </w:p>
    <w:p w14:paraId="103D8DAB">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14:paraId="374199E3">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0E834355">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14:paraId="03492CF7">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14:paraId="0749DF8C">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14:paraId="5E999A29">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14:paraId="28B02D0F">
      <w:pPr>
        <w:spacing w:line="360" w:lineRule="auto"/>
        <w:rPr>
          <w:rStyle w:val="20"/>
          <w:rFonts w:ascii="仿宋" w:hAnsi="仿宋" w:eastAsia="仿宋" w:cs="仿宋"/>
          <w:sz w:val="28"/>
          <w:szCs w:val="28"/>
          <w:rtl w:val="0"/>
          <w:lang w:val="zh-TW" w:eastAsia="zh-TW"/>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0"/>
          <w:rFonts w:ascii="仿宋" w:hAnsi="仿宋" w:eastAsia="仿宋" w:cs="仿宋"/>
          <w:sz w:val="28"/>
          <w:szCs w:val="28"/>
          <w:lang w:val="zh-TW" w:eastAsia="zh-TW"/>
        </w:rPr>
        <w:fldChar w:fldCharType="begin"/>
      </w:r>
      <w:r>
        <w:rPr>
          <w:rStyle w:val="20"/>
          <w:rFonts w:ascii="仿宋" w:hAnsi="仿宋" w:eastAsia="仿宋" w:cs="仿宋"/>
          <w:sz w:val="28"/>
          <w:szCs w:val="28"/>
          <w:lang w:val="zh-TW" w:eastAsia="zh-TW"/>
        </w:rPr>
        <w:instrText xml:space="preserve"> HYPERLINK "http://www.lawtime.cn/info/sifakaoshi/xingzhengfa/"</w:instrText>
      </w:r>
      <w:r>
        <w:rPr>
          <w:rStyle w:val="20"/>
          <w:rFonts w:ascii="仿宋" w:hAnsi="仿宋" w:eastAsia="仿宋" w:cs="仿宋"/>
          <w:sz w:val="28"/>
          <w:szCs w:val="28"/>
          <w:lang w:val="zh-TW" w:eastAsia="zh-TW"/>
        </w:rPr>
        <w:fldChar w:fldCharType="separate"/>
      </w:r>
      <w:r>
        <w:rPr>
          <w:rStyle w:val="20"/>
          <w:rFonts w:ascii="仿宋" w:hAnsi="仿宋" w:eastAsia="仿宋" w:cs="仿宋"/>
          <w:sz w:val="28"/>
          <w:szCs w:val="28"/>
          <w:rtl w:val="0"/>
          <w:lang w:val="zh-TW" w:eastAsia="zh-TW"/>
        </w:rPr>
        <w:t>行政法</w:t>
      </w:r>
      <w:r>
        <w:fldChar w:fldCharType="end"/>
      </w:r>
      <w:r>
        <w:rPr>
          <w:rStyle w:val="20"/>
          <w:rFonts w:ascii="仿宋" w:hAnsi="仿宋" w:eastAsia="仿宋" w:cs="仿宋"/>
          <w:sz w:val="28"/>
          <w:szCs w:val="28"/>
          <w:rtl w:val="0"/>
          <w:lang w:val="zh-TW" w:eastAsia="zh-TW"/>
        </w:rPr>
        <w:t>规规定的其他条件【提供承诺函】</w:t>
      </w:r>
    </w:p>
    <w:p w14:paraId="244E58BF">
      <w:pPr>
        <w:pStyle w:val="19"/>
        <w:rPr>
          <w:rStyle w:val="20"/>
          <w:rFonts w:hint="eastAsia" w:ascii="仿宋" w:hAnsi="仿宋" w:eastAsia="仿宋" w:cs="仿宋"/>
          <w:sz w:val="28"/>
          <w:szCs w:val="28"/>
          <w:rtl w:val="0"/>
          <w:lang w:val="en-US" w:eastAsia="zh-CN"/>
        </w:rPr>
      </w:pPr>
      <w:r>
        <w:rPr>
          <w:rStyle w:val="20"/>
          <w:rFonts w:hint="eastAsia" w:ascii="仿宋" w:hAnsi="仿宋" w:eastAsia="仿宋" w:cs="仿宋"/>
          <w:sz w:val="28"/>
          <w:szCs w:val="28"/>
          <w:rtl w:val="0"/>
          <w:lang w:val="en-US" w:eastAsia="zh-CN"/>
        </w:rPr>
        <w:t>7.具有有效的《中华人民共和国特种设备生产许可证》，电梯安装（含维修）曳引驱动乘客电梯（含消防电梯）v≤6.0m/s</w:t>
      </w:r>
    </w:p>
    <w:p w14:paraId="044779B2">
      <w:pPr>
        <w:rPr>
          <w:rFonts w:hint="default"/>
          <w:lang w:val="en-US" w:eastAsia="zh-CN"/>
        </w:rPr>
      </w:pPr>
      <w:r>
        <w:rPr>
          <w:rStyle w:val="20"/>
          <w:rFonts w:hint="eastAsia" w:ascii="仿宋" w:hAnsi="仿宋" w:eastAsia="仿宋" w:cs="仿宋"/>
          <w:sz w:val="28"/>
          <w:szCs w:val="28"/>
          <w:rtl w:val="0"/>
          <w:lang w:val="en-US" w:eastAsia="zh-CN"/>
        </w:rPr>
        <w:t>8.提供自2022年1月以来关于类似电梯维护保养的业绩要求一个及以上的类似业绩，。</w:t>
      </w:r>
    </w:p>
    <w:p w14:paraId="39F0FA03">
      <w:pPr>
        <w:pStyle w:val="19"/>
        <w:rPr>
          <w:rFonts w:hint="default" w:eastAsia="宋体"/>
          <w:lang w:val="en-US" w:eastAsia="zh-CN"/>
        </w:rPr>
      </w:pPr>
      <w:r>
        <w:rPr>
          <w:rFonts w:hint="eastAsia"/>
          <w:lang w:val="en-US" w:eastAsia="zh-CN"/>
        </w:rPr>
        <w:t>9.其他涉及该项目资质材料。</w:t>
      </w:r>
    </w:p>
    <w:p w14:paraId="0E46B310">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14:paraId="3983C38D">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14:paraId="5A2D3AAE">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14:paraId="6A835314">
      <w:pPr>
        <w:jc w:val="left"/>
        <w:rPr>
          <w:rFonts w:hint="eastAsia" w:ascii="仿宋" w:hAnsi="仿宋" w:eastAsia="仿宋" w:cs="仿宋"/>
          <w:bCs/>
          <w:color w:val="0000FF"/>
          <w:sz w:val="28"/>
          <w:szCs w:val="28"/>
          <w:lang w:val="en-US" w:eastAsia="zh-CN"/>
        </w:rPr>
      </w:pPr>
      <w:r>
        <w:rPr>
          <w:rFonts w:hint="eastAsia" w:ascii="仿宋" w:hAnsi="仿宋" w:eastAsia="仿宋" w:cs="仿宋"/>
          <w:bCs/>
          <w:sz w:val="28"/>
          <w:szCs w:val="28"/>
          <w:lang w:val="en-US" w:eastAsia="zh-CN"/>
        </w:rPr>
        <w:t>3.项目成交方式：</w:t>
      </w:r>
      <w:r>
        <w:rPr>
          <w:rFonts w:hint="eastAsia" w:ascii="仿宋" w:hAnsi="仿宋" w:eastAsia="仿宋" w:cs="仿宋"/>
          <w:bCs/>
          <w:color w:val="0000FF"/>
          <w:sz w:val="28"/>
          <w:szCs w:val="28"/>
          <w:lang w:val="en-US" w:eastAsia="zh-CN"/>
        </w:rPr>
        <w:t>经评标人员共同确定满足要求后的供应商中，通过竞争性谈判最终报价的最低价供应商中标。</w:t>
      </w:r>
    </w:p>
    <w:p w14:paraId="79321328">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14:paraId="6D3B3A23">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7A961505">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14:paraId="57400BA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2、在谈判过程中，谈判小组发现或者知晓供应商存在违法、违纪行为的，谈判小组应当将该供应商淘汰，不允许其提交最后报价。</w:t>
      </w:r>
    </w:p>
    <w:p w14:paraId="671BCD0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的报价规定的，应按照无效响应文件处理。</w:t>
      </w:r>
    </w:p>
    <w:p w14:paraId="231B7FE4">
      <w:pPr>
        <w:pStyle w:val="8"/>
        <w:rPr>
          <w:rFonts w:hint="default"/>
          <w:lang w:val="en-US" w:eastAsia="zh-CN"/>
        </w:rPr>
      </w:pPr>
      <w:r>
        <w:rPr>
          <w:rFonts w:hint="eastAsia" w:ascii="Arial Black" w:hAnsi="Arial Black" w:cs="Arial Black"/>
          <w:b/>
          <w:bCs/>
          <w:sz w:val="28"/>
          <w:szCs w:val="28"/>
          <w:lang w:val="en-US" w:eastAsia="zh-CN"/>
        </w:rPr>
        <w:t>五、其他要求：</w:t>
      </w:r>
    </w:p>
    <w:p w14:paraId="5FD3C0FB">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14:paraId="49A8A6AE">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14:paraId="3A56EB8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14:paraId="4D2B7C30">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14:paraId="3BBAAC99">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14:paraId="28686DF4">
      <w:pPr>
        <w:ind w:firstLine="280" w:firstLineChars="1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6.响应文件中附上产品的相关图片。</w:t>
      </w:r>
    </w:p>
    <w:p w14:paraId="0C315FDC">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7.响应纸张A4纸，用档案袋密封包装，不得有打开痕迹，加盖骑缝章。</w:t>
      </w:r>
    </w:p>
    <w:p w14:paraId="1FAF266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8.逾期送达或没有密封的响应文件不予接收。</w:t>
      </w:r>
    </w:p>
    <w:p w14:paraId="458F8FD3">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14:paraId="5DA6E957">
      <w:pPr>
        <w:jc w:val="left"/>
        <w:rPr>
          <w:rStyle w:val="20"/>
          <w:rFonts w:hint="default" w:ascii="仿宋" w:hAnsi="仿宋" w:eastAsia="仿宋" w:cs="仿宋"/>
          <w:sz w:val="28"/>
          <w:szCs w:val="28"/>
          <w:rtl w:val="0"/>
          <w:lang w:val="en-US" w:eastAsia="zh-CN"/>
        </w:rPr>
      </w:pPr>
      <w:r>
        <w:rPr>
          <w:rStyle w:val="21"/>
          <w:rFonts w:ascii="仿宋" w:hAnsi="仿宋" w:eastAsia="仿宋" w:cs="仿宋"/>
          <w:sz w:val="28"/>
          <w:szCs w:val="28"/>
          <w:rtl w:val="0"/>
          <w:lang w:val="en-US"/>
        </w:rPr>
        <w:t>1.</w:t>
      </w:r>
      <w:r>
        <w:rPr>
          <w:rStyle w:val="20"/>
          <w:rFonts w:ascii="仿宋" w:hAnsi="仿宋" w:eastAsia="仿宋" w:cs="仿宋"/>
          <w:sz w:val="28"/>
          <w:szCs w:val="28"/>
          <w:rtl w:val="0"/>
          <w:lang w:val="zh-TW" w:eastAsia="zh-TW"/>
        </w:rPr>
        <w:t>此</w:t>
      </w:r>
      <w:r>
        <w:rPr>
          <w:rStyle w:val="20"/>
          <w:rFonts w:hint="eastAsia" w:ascii="仿宋" w:hAnsi="仿宋" w:eastAsia="仿宋" w:cs="仿宋"/>
          <w:sz w:val="28"/>
          <w:szCs w:val="28"/>
          <w:rtl w:val="0"/>
          <w:lang w:val="zh-TW" w:eastAsia="zh-CN"/>
        </w:rPr>
        <w:t>邀请</w:t>
      </w:r>
      <w:r>
        <w:rPr>
          <w:rStyle w:val="20"/>
          <w:rFonts w:ascii="仿宋" w:hAnsi="仿宋" w:eastAsia="仿宋" w:cs="仿宋"/>
          <w:sz w:val="28"/>
          <w:szCs w:val="28"/>
          <w:rtl w:val="0"/>
          <w:lang w:val="zh-TW" w:eastAsia="zh-TW"/>
        </w:rPr>
        <w:t>函自</w:t>
      </w:r>
      <w:r>
        <w:rPr>
          <w:rStyle w:val="22"/>
          <w:rtl w:val="0"/>
          <w:lang w:val="en-US"/>
        </w:rPr>
        <w:t>2024</w:t>
      </w:r>
      <w:r>
        <w:rPr>
          <w:rStyle w:val="22"/>
          <w:rtl w:val="0"/>
          <w:lang w:val="zh-TW" w:eastAsia="zh-TW"/>
        </w:rPr>
        <w:t>年</w:t>
      </w:r>
      <w:r>
        <w:rPr>
          <w:rStyle w:val="22"/>
          <w:rFonts w:hint="eastAsia"/>
          <w:rtl w:val="0"/>
          <w:lang w:val="en-US" w:eastAsia="zh-CN"/>
        </w:rPr>
        <w:t>7</w:t>
      </w:r>
      <w:r>
        <w:rPr>
          <w:rStyle w:val="22"/>
          <w:rtl w:val="0"/>
          <w:lang w:val="zh-TW" w:eastAsia="zh-TW"/>
        </w:rPr>
        <w:t>月</w:t>
      </w:r>
      <w:r>
        <w:rPr>
          <w:rStyle w:val="22"/>
          <w:rFonts w:hint="eastAsia"/>
          <w:rtl w:val="0"/>
          <w:lang w:val="en-US" w:eastAsia="zh-CN"/>
        </w:rPr>
        <w:t>24</w:t>
      </w:r>
      <w:r>
        <w:rPr>
          <w:rStyle w:val="22"/>
          <w:rtl w:val="0"/>
          <w:lang w:val="zh-TW" w:eastAsia="zh-TW"/>
        </w:rPr>
        <w:t>日</w:t>
      </w:r>
      <w:r>
        <w:rPr>
          <w:rStyle w:val="22"/>
          <w:rFonts w:hint="eastAsia"/>
          <w:rtl w:val="0"/>
          <w:lang w:val="en-US" w:eastAsia="zh-CN"/>
        </w:rPr>
        <w:t>08:00</w:t>
      </w:r>
      <w:r>
        <w:rPr>
          <w:rStyle w:val="22"/>
          <w:rtl w:val="0"/>
          <w:lang w:val="zh-TW" w:eastAsia="zh-TW"/>
        </w:rPr>
        <w:t>至</w:t>
      </w:r>
      <w:r>
        <w:rPr>
          <w:rStyle w:val="22"/>
          <w:rtl w:val="0"/>
          <w:lang w:val="en-US"/>
        </w:rPr>
        <w:t>202</w:t>
      </w:r>
      <w:r>
        <w:rPr>
          <w:rStyle w:val="22"/>
          <w:rFonts w:hint="eastAsia"/>
          <w:rtl w:val="0"/>
          <w:lang w:val="en-US" w:eastAsia="zh-CN"/>
        </w:rPr>
        <w:t>4</w:t>
      </w:r>
      <w:r>
        <w:rPr>
          <w:rStyle w:val="22"/>
          <w:rtl w:val="0"/>
          <w:lang w:val="zh-TW" w:eastAsia="zh-TW"/>
        </w:rPr>
        <w:t>年</w:t>
      </w:r>
      <w:r>
        <w:rPr>
          <w:rStyle w:val="22"/>
          <w:rFonts w:hint="eastAsia"/>
          <w:rtl w:val="0"/>
          <w:lang w:val="en-US" w:eastAsia="zh-CN"/>
        </w:rPr>
        <w:t xml:space="preserve"> 7</w:t>
      </w:r>
      <w:r>
        <w:rPr>
          <w:rStyle w:val="22"/>
          <w:rtl w:val="0"/>
          <w:lang w:val="zh-TW" w:eastAsia="zh-TW"/>
        </w:rPr>
        <w:t>月</w:t>
      </w:r>
      <w:r>
        <w:rPr>
          <w:rStyle w:val="22"/>
          <w:rFonts w:hint="eastAsia"/>
          <w:rtl w:val="0"/>
          <w:lang w:val="en-US" w:eastAsia="zh-CN"/>
        </w:rPr>
        <w:t xml:space="preserve"> 26</w:t>
      </w:r>
      <w:r>
        <w:rPr>
          <w:rStyle w:val="22"/>
          <w:rtl w:val="0"/>
          <w:lang w:val="zh-TW" w:eastAsia="zh-TW"/>
        </w:rPr>
        <w:t>日</w:t>
      </w:r>
      <w:r>
        <w:rPr>
          <w:rStyle w:val="22"/>
          <w:rFonts w:hint="eastAsia"/>
          <w:rtl w:val="0"/>
          <w:lang w:val="en-US" w:eastAsia="zh-CN"/>
        </w:rPr>
        <w:t>17:00</w:t>
      </w:r>
      <w:r>
        <w:rPr>
          <w:rStyle w:val="20"/>
          <w:rFonts w:ascii="仿宋" w:hAnsi="仿宋" w:eastAsia="仿宋" w:cs="仿宋"/>
          <w:sz w:val="28"/>
          <w:szCs w:val="28"/>
          <w:rtl w:val="0"/>
          <w:lang w:val="zh-TW" w:eastAsia="zh-TW"/>
        </w:rPr>
        <w:t>在古蔺县中医医院行政三楼采购科</w:t>
      </w:r>
      <w:r>
        <w:rPr>
          <w:rStyle w:val="20"/>
          <w:rFonts w:hint="eastAsia" w:ascii="仿宋" w:hAnsi="仿宋" w:eastAsia="仿宋" w:cs="仿宋"/>
          <w:sz w:val="28"/>
          <w:szCs w:val="28"/>
          <w:rtl w:val="0"/>
          <w:lang w:val="zh-TW" w:eastAsia="zh-CN"/>
        </w:rPr>
        <w:t>或古蔺县中医医院官网http://www.glxzyyy.cn/</w:t>
      </w:r>
      <w:r>
        <w:rPr>
          <w:rStyle w:val="20"/>
          <w:rFonts w:ascii="仿宋" w:hAnsi="仿宋" w:eastAsia="仿宋" w:cs="仿宋"/>
          <w:sz w:val="28"/>
          <w:szCs w:val="28"/>
          <w:rtl w:val="0"/>
          <w:lang w:val="zh-TW" w:eastAsia="zh-TW"/>
        </w:rPr>
        <w:t>获取《依法获取比选文件及项目报名登记表》。本项目报名方式为现场报名</w:t>
      </w:r>
      <w:r>
        <w:rPr>
          <w:rStyle w:val="20"/>
          <w:rFonts w:hint="eastAsia" w:ascii="仿宋" w:hAnsi="仿宋" w:eastAsia="仿宋" w:cs="仿宋"/>
          <w:sz w:val="28"/>
          <w:szCs w:val="28"/>
          <w:rtl w:val="0"/>
          <w:lang w:val="zh-TW" w:eastAsia="zh-CN"/>
        </w:rPr>
        <w:t>或</w:t>
      </w:r>
      <w:r>
        <w:rPr>
          <w:rStyle w:val="20"/>
          <w:rFonts w:ascii="仿宋" w:hAnsi="仿宋" w:eastAsia="仿宋" w:cs="仿宋"/>
          <w:sz w:val="28"/>
          <w:szCs w:val="28"/>
          <w:rtl w:val="0"/>
          <w:lang w:val="zh-TW" w:eastAsia="zh-TW"/>
        </w:rPr>
        <w:t>网上报名（免费报名）</w:t>
      </w:r>
      <w:r>
        <w:rPr>
          <w:rStyle w:val="20"/>
          <w:rFonts w:hint="eastAsia" w:ascii="仿宋" w:hAnsi="仿宋" w:eastAsia="仿宋" w:cs="仿宋"/>
          <w:sz w:val="28"/>
          <w:szCs w:val="28"/>
          <w:rtl w:val="0"/>
          <w:lang w:val="zh-TW" w:eastAsia="zh-CN"/>
        </w:rPr>
        <w:t>，报名表见</w:t>
      </w:r>
      <w:r>
        <w:rPr>
          <w:rStyle w:val="20"/>
          <w:rFonts w:hint="eastAsia" w:ascii="仿宋" w:hAnsi="仿宋" w:eastAsia="仿宋" w:cs="仿宋"/>
          <w:b/>
          <w:bCs/>
          <w:sz w:val="28"/>
          <w:szCs w:val="28"/>
          <w:rtl w:val="0"/>
          <w:lang w:val="zh-TW" w:eastAsia="zh-CN"/>
        </w:rPr>
        <w:t>附件</w:t>
      </w:r>
      <w:r>
        <w:rPr>
          <w:rStyle w:val="20"/>
          <w:rFonts w:hint="eastAsia" w:ascii="仿宋" w:hAnsi="仿宋" w:eastAsia="仿宋" w:cs="仿宋"/>
          <w:b/>
          <w:bCs/>
          <w:sz w:val="28"/>
          <w:szCs w:val="28"/>
          <w:rtl w:val="0"/>
          <w:lang w:val="en-US" w:eastAsia="zh-CN"/>
        </w:rPr>
        <w:t>3，邮箱：</w:t>
      </w:r>
      <w:r>
        <w:rPr>
          <w:rStyle w:val="20"/>
          <w:rFonts w:hint="eastAsia" w:ascii="仿宋" w:hAnsi="仿宋" w:eastAsia="仿宋" w:cs="仿宋"/>
          <w:sz w:val="28"/>
          <w:szCs w:val="28"/>
          <w:rtl w:val="0"/>
          <w:lang w:val="en-US" w:eastAsia="zh-CN"/>
        </w:rPr>
        <w:t>850402170@QQ.com.</w:t>
      </w:r>
    </w:p>
    <w:p w14:paraId="0FC2D1B0">
      <w:pPr>
        <w:jc w:val="left"/>
        <w:rPr>
          <w:rStyle w:val="21"/>
          <w:rFonts w:ascii="仿宋" w:hAnsi="仿宋" w:eastAsia="仿宋" w:cs="仿宋"/>
          <w:sz w:val="28"/>
          <w:szCs w:val="28"/>
        </w:rPr>
      </w:pPr>
      <w:r>
        <w:rPr>
          <w:rStyle w:val="21"/>
          <w:rFonts w:ascii="仿宋" w:hAnsi="仿宋" w:eastAsia="仿宋" w:cs="仿宋"/>
          <w:sz w:val="28"/>
          <w:szCs w:val="28"/>
          <w:rtl w:val="0"/>
          <w:lang w:val="en-US"/>
        </w:rPr>
        <w:t>1.1</w:t>
      </w:r>
      <w:r>
        <w:rPr>
          <w:rStyle w:val="20"/>
          <w:rFonts w:ascii="仿宋" w:hAnsi="仿宋" w:eastAsia="仿宋" w:cs="仿宋"/>
          <w:sz w:val="28"/>
          <w:szCs w:val="28"/>
          <w:rtl w:val="0"/>
          <w:lang w:val="zh-TW" w:eastAsia="zh-TW"/>
        </w:rPr>
        <w:t>现场报名</w:t>
      </w:r>
      <w:r>
        <w:rPr>
          <w:rStyle w:val="20"/>
          <w:rFonts w:hint="eastAsia" w:ascii="仿宋" w:hAnsi="仿宋" w:eastAsia="仿宋" w:cs="仿宋"/>
          <w:sz w:val="28"/>
          <w:szCs w:val="28"/>
          <w:rtl w:val="0"/>
          <w:lang w:val="zh-TW" w:eastAsia="zh-CN"/>
        </w:rPr>
        <w:t>或网上报名</w:t>
      </w:r>
      <w:r>
        <w:rPr>
          <w:rStyle w:val="20"/>
          <w:rFonts w:ascii="仿宋" w:hAnsi="仿宋" w:eastAsia="仿宋" w:cs="仿宋"/>
          <w:sz w:val="28"/>
          <w:szCs w:val="28"/>
          <w:rtl w:val="0"/>
          <w:lang w:val="zh-TW" w:eastAsia="zh-TW"/>
        </w:rPr>
        <w:t>：报名时间以现场接收</w:t>
      </w:r>
      <w:r>
        <w:rPr>
          <w:rStyle w:val="20"/>
          <w:rFonts w:hint="eastAsia" w:ascii="仿宋" w:hAnsi="仿宋" w:eastAsia="仿宋" w:cs="仿宋"/>
          <w:sz w:val="28"/>
          <w:szCs w:val="28"/>
          <w:rtl w:val="0"/>
          <w:lang w:val="zh-TW" w:eastAsia="zh-CN"/>
        </w:rPr>
        <w:t>或邮箱接收</w:t>
      </w:r>
      <w:r>
        <w:rPr>
          <w:rStyle w:val="20"/>
          <w:rFonts w:ascii="仿宋" w:hAnsi="仿宋" w:eastAsia="仿宋" w:cs="仿宋"/>
          <w:sz w:val="28"/>
          <w:szCs w:val="28"/>
          <w:rtl w:val="0"/>
          <w:lang w:val="zh-TW" w:eastAsia="zh-TW"/>
        </w:rPr>
        <w:t>报名材料时间为准，逾期不再接受报名。</w:t>
      </w:r>
    </w:p>
    <w:p w14:paraId="3BB20070">
      <w:pPr>
        <w:jc w:val="left"/>
        <w:rPr>
          <w:rStyle w:val="21"/>
          <w:rFonts w:ascii="仿宋" w:hAnsi="仿宋" w:eastAsia="仿宋" w:cs="仿宋"/>
          <w:sz w:val="28"/>
          <w:szCs w:val="28"/>
        </w:rPr>
      </w:pPr>
      <w:r>
        <w:rPr>
          <w:rStyle w:val="21"/>
          <w:rFonts w:ascii="仿宋" w:hAnsi="仿宋" w:eastAsia="仿宋" w:cs="仿宋"/>
          <w:sz w:val="28"/>
          <w:szCs w:val="28"/>
          <w:rtl w:val="0"/>
          <w:lang w:val="en-US"/>
        </w:rPr>
        <w:t>1.2</w:t>
      </w:r>
      <w:r>
        <w:rPr>
          <w:rStyle w:val="20"/>
          <w:rFonts w:ascii="仿宋" w:hAnsi="仿宋" w:eastAsia="仿宋" w:cs="仿宋"/>
          <w:sz w:val="28"/>
          <w:szCs w:val="28"/>
          <w:rtl w:val="0"/>
          <w:lang w:val="zh-TW" w:eastAsia="zh-TW"/>
        </w:rPr>
        <w:t>法定代表人授权委托书原件或公司介绍信原件【</w:t>
      </w:r>
      <w:r>
        <w:rPr>
          <w:rStyle w:val="21"/>
          <w:rFonts w:ascii="仿宋" w:hAnsi="仿宋" w:eastAsia="仿宋" w:cs="仿宋"/>
          <w:sz w:val="28"/>
          <w:szCs w:val="28"/>
          <w:rtl w:val="0"/>
          <w:lang w:val="en-US"/>
        </w:rPr>
        <w:t>1.</w:t>
      </w:r>
      <w:r>
        <w:rPr>
          <w:rStyle w:val="20"/>
          <w:rFonts w:ascii="仿宋" w:hAnsi="仿宋" w:eastAsia="仿宋" w:cs="仿宋"/>
          <w:sz w:val="28"/>
          <w:szCs w:val="28"/>
          <w:rtl w:val="0"/>
          <w:lang w:val="zh-TW" w:eastAsia="zh-TW"/>
        </w:rPr>
        <w:t>法定代表人和授权代表签字；</w:t>
      </w:r>
      <w:r>
        <w:rPr>
          <w:rStyle w:val="21"/>
          <w:rFonts w:ascii="仿宋" w:hAnsi="仿宋" w:eastAsia="仿宋" w:cs="仿宋"/>
          <w:sz w:val="28"/>
          <w:szCs w:val="28"/>
          <w:rtl w:val="0"/>
          <w:lang w:val="en-US"/>
        </w:rPr>
        <w:t>2.</w:t>
      </w:r>
      <w:r>
        <w:rPr>
          <w:rStyle w:val="20"/>
          <w:rFonts w:ascii="仿宋" w:hAnsi="仿宋" w:eastAsia="仿宋" w:cs="仿宋"/>
          <w:sz w:val="28"/>
          <w:szCs w:val="28"/>
          <w:rtl w:val="0"/>
          <w:lang w:val="zh-TW" w:eastAsia="zh-TW"/>
        </w:rPr>
        <w:t>加盖公章；</w:t>
      </w:r>
      <w:r>
        <w:rPr>
          <w:rStyle w:val="21"/>
          <w:rFonts w:ascii="仿宋" w:hAnsi="仿宋" w:eastAsia="仿宋" w:cs="仿宋"/>
          <w:sz w:val="28"/>
          <w:szCs w:val="28"/>
          <w:rtl w:val="0"/>
          <w:lang w:val="en-US"/>
        </w:rPr>
        <w:t>3.</w:t>
      </w:r>
      <w:r>
        <w:rPr>
          <w:rStyle w:val="20"/>
          <w:rFonts w:ascii="仿宋" w:hAnsi="仿宋" w:eastAsia="仿宋" w:cs="仿宋"/>
          <w:sz w:val="28"/>
          <w:szCs w:val="28"/>
          <w:rtl w:val="0"/>
          <w:lang w:val="zh-TW" w:eastAsia="zh-TW"/>
        </w:rPr>
        <w:t>明确授权代表联系方式（以便开标前告知是否到达开标条件）；</w:t>
      </w:r>
      <w:r>
        <w:rPr>
          <w:rStyle w:val="21"/>
          <w:rFonts w:ascii="仿宋" w:hAnsi="仿宋" w:eastAsia="仿宋" w:cs="仿宋"/>
          <w:sz w:val="28"/>
          <w:szCs w:val="28"/>
          <w:rtl w:val="0"/>
          <w:lang w:val="en-US"/>
        </w:rPr>
        <w:t>4.</w:t>
      </w:r>
      <w:r>
        <w:rPr>
          <w:rStyle w:val="20"/>
          <w:rFonts w:ascii="仿宋" w:hAnsi="仿宋" w:eastAsia="仿宋" w:cs="仿宋"/>
          <w:sz w:val="28"/>
          <w:szCs w:val="28"/>
          <w:rtl w:val="0"/>
          <w:lang w:val="zh-TW" w:eastAsia="zh-TW"/>
        </w:rPr>
        <w:t>附带法定代表人及授权代表的身份证复印件加盖公章】。</w:t>
      </w:r>
    </w:p>
    <w:p w14:paraId="10F7366A">
      <w:pPr>
        <w:rPr>
          <w:rStyle w:val="20"/>
          <w:rFonts w:ascii="仿宋" w:hAnsi="仿宋" w:eastAsia="仿宋" w:cs="仿宋"/>
          <w:sz w:val="28"/>
          <w:szCs w:val="28"/>
          <w:lang w:val="zh-TW" w:eastAsia="zh-TW"/>
        </w:rPr>
      </w:pPr>
      <w:r>
        <w:rPr>
          <w:rStyle w:val="21"/>
          <w:rFonts w:ascii="仿宋" w:hAnsi="仿宋" w:eastAsia="仿宋" w:cs="仿宋"/>
          <w:sz w:val="28"/>
          <w:szCs w:val="28"/>
          <w:rtl w:val="0"/>
          <w:lang w:val="en-US"/>
        </w:rPr>
        <w:t>1.3</w:t>
      </w:r>
      <w:r>
        <w:rPr>
          <w:rStyle w:val="20"/>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14:paraId="514D90D4">
      <w:pPr>
        <w:widowControl w:val="0"/>
        <w:numPr>
          <w:ilvl w:val="0"/>
          <w:numId w:val="0"/>
        </w:numPr>
        <w:jc w:val="both"/>
        <w:rPr>
          <w:rStyle w:val="22"/>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2"/>
          <w:rFonts w:hint="eastAsia" w:ascii="Times New Roman" w:hAnsi="Times New Roman" w:eastAsia="宋体" w:cs="Times New Roman"/>
          <w:rtl w:val="0"/>
          <w:lang w:val="en-US" w:eastAsia="zh-CN"/>
        </w:rPr>
        <w:t>2024</w:t>
      </w:r>
      <w:r>
        <w:rPr>
          <w:rStyle w:val="22"/>
          <w:rFonts w:hint="eastAsia" w:ascii="Times New Roman" w:hAnsi="Times New Roman" w:eastAsia="宋体" w:cs="Times New Roman"/>
          <w:rtl w:val="0"/>
          <w:lang w:val="zh-TW" w:eastAsia="zh-TW"/>
        </w:rPr>
        <w:t>年</w:t>
      </w:r>
      <w:r>
        <w:rPr>
          <w:rStyle w:val="22"/>
          <w:rFonts w:hint="eastAsia" w:ascii="Times New Roman" w:hAnsi="Times New Roman" w:eastAsia="宋体" w:cs="Times New Roman"/>
          <w:rtl w:val="0"/>
          <w:lang w:val="en-US" w:eastAsia="zh-CN"/>
        </w:rPr>
        <w:t xml:space="preserve"> 7 </w:t>
      </w:r>
      <w:r>
        <w:rPr>
          <w:rStyle w:val="22"/>
          <w:rFonts w:hint="eastAsia" w:ascii="Times New Roman" w:hAnsi="Times New Roman" w:eastAsia="宋体" w:cs="Times New Roman"/>
          <w:rtl w:val="0"/>
          <w:lang w:val="zh-TW" w:eastAsia="zh-TW"/>
        </w:rPr>
        <w:t>月</w:t>
      </w:r>
      <w:r>
        <w:rPr>
          <w:rStyle w:val="22"/>
          <w:rFonts w:hint="eastAsia" w:ascii="Times New Roman" w:hAnsi="Times New Roman" w:eastAsia="宋体" w:cs="Times New Roman"/>
          <w:rtl w:val="0"/>
          <w:lang w:val="en-US" w:eastAsia="zh-CN"/>
        </w:rPr>
        <w:t>29</w:t>
      </w:r>
      <w:r>
        <w:rPr>
          <w:rStyle w:val="22"/>
          <w:rFonts w:hint="eastAsia" w:ascii="Times New Roman" w:hAnsi="Times New Roman" w:eastAsia="宋体" w:cs="Times New Roman"/>
          <w:rtl w:val="0"/>
          <w:lang w:val="zh-TW" w:eastAsia="zh-TW"/>
        </w:rPr>
        <w:t>日</w:t>
      </w:r>
      <w:r>
        <w:rPr>
          <w:rStyle w:val="22"/>
          <w:rFonts w:hint="eastAsia" w:ascii="Times New Roman" w:hAnsi="Times New Roman" w:eastAsia="宋体" w:cs="Times New Roman"/>
          <w:rtl w:val="0"/>
          <w:lang w:val="zh-TW" w:eastAsia="zh-CN"/>
        </w:rPr>
        <w:t>下</w:t>
      </w:r>
      <w:r>
        <w:rPr>
          <w:rStyle w:val="22"/>
          <w:rFonts w:hint="eastAsia" w:ascii="Times New Roman" w:hAnsi="Times New Roman" w:eastAsia="宋体" w:cs="Times New Roman"/>
          <w:rtl w:val="0"/>
          <w:lang w:val="zh-TW" w:eastAsia="zh-TW"/>
        </w:rPr>
        <w:t>午</w:t>
      </w:r>
      <w:r>
        <w:rPr>
          <w:rStyle w:val="22"/>
          <w:rFonts w:hint="eastAsia" w:ascii="Times New Roman" w:hAnsi="Times New Roman" w:eastAsia="宋体" w:cs="Times New Roman"/>
          <w:rtl w:val="0"/>
          <w:lang w:val="en-US" w:eastAsia="zh-CN"/>
        </w:rPr>
        <w:t>16:30</w:t>
      </w:r>
      <w:r>
        <w:rPr>
          <w:rStyle w:val="22"/>
          <w:rFonts w:hint="eastAsia" w:ascii="Times New Roman" w:hAnsi="Times New Roman" w:eastAsia="宋体" w:cs="Times New Roman"/>
          <w:rtl w:val="0"/>
          <w:lang w:val="zh-TW" w:eastAsia="zh-TW"/>
        </w:rPr>
        <w:t>止（北京时间）。</w:t>
      </w:r>
    </w:p>
    <w:p w14:paraId="1D7FED6B">
      <w:pPr>
        <w:pStyle w:val="8"/>
        <w:spacing w:line="400" w:lineRule="exact"/>
        <w:ind w:firstLine="482"/>
        <w:rPr>
          <w:rStyle w:val="21"/>
          <w:rFonts w:ascii="仿宋" w:hAnsi="仿宋" w:eastAsia="仿宋" w:cs="仿宋"/>
          <w:b/>
          <w:bCs/>
          <w:color w:val="000000"/>
          <w:sz w:val="24"/>
          <w:szCs w:val="24"/>
          <w:u w:color="000000"/>
        </w:rPr>
      </w:pPr>
      <w:r>
        <w:rPr>
          <w:rFonts w:hint="eastAsia" w:ascii="Arial Black" w:hAnsi="Arial Black" w:cs="Arial Black" w:eastAsiaTheme="minorEastAsia"/>
          <w:b/>
          <w:bCs/>
          <w:kern w:val="2"/>
          <w:sz w:val="28"/>
          <w:szCs w:val="28"/>
          <w:rtl w:val="0"/>
          <w:lang w:val="zh-TW" w:eastAsia="zh-TW" w:bidi="ar-SA"/>
        </w:rPr>
        <w:t>文件接收时间：</w:t>
      </w:r>
      <w:r>
        <w:rPr>
          <w:rStyle w:val="22"/>
          <w:rFonts w:hint="eastAsia" w:ascii="Times New Roman" w:hAnsi="Times New Roman" w:eastAsia="宋体" w:cs="Times New Roman"/>
          <w:kern w:val="2"/>
          <w:szCs w:val="24"/>
          <w:rtl w:val="0"/>
          <w:lang w:val="en-US" w:eastAsia="zh-TW" w:bidi="ar-SA"/>
        </w:rPr>
        <w:t>202</w:t>
      </w:r>
      <w:r>
        <w:rPr>
          <w:rStyle w:val="22"/>
          <w:rFonts w:hint="eastAsia" w:ascii="Times New Roman" w:hAnsi="Times New Roman" w:eastAsia="宋体" w:cs="Times New Roman"/>
          <w:kern w:val="2"/>
          <w:szCs w:val="24"/>
          <w:rtl w:val="0"/>
          <w:lang w:val="en-US" w:eastAsia="zh-CN" w:bidi="ar-SA"/>
        </w:rPr>
        <w:t>4</w:t>
      </w:r>
      <w:r>
        <w:rPr>
          <w:rStyle w:val="22"/>
          <w:rFonts w:hint="eastAsia" w:ascii="Times New Roman" w:hAnsi="Times New Roman" w:eastAsia="宋体" w:cs="Times New Roman"/>
          <w:kern w:val="2"/>
          <w:szCs w:val="24"/>
          <w:rtl w:val="0"/>
          <w:lang w:val="zh-TW" w:eastAsia="zh-TW" w:bidi="ar-SA"/>
        </w:rPr>
        <w:t>年</w:t>
      </w:r>
      <w:r>
        <w:rPr>
          <w:rStyle w:val="22"/>
          <w:rFonts w:hint="eastAsia" w:ascii="Times New Roman" w:hAnsi="Times New Roman" w:eastAsia="宋体" w:cs="Times New Roman"/>
          <w:kern w:val="2"/>
          <w:szCs w:val="24"/>
          <w:rtl w:val="0"/>
          <w:lang w:val="en-US" w:eastAsia="zh-CN" w:bidi="ar-SA"/>
        </w:rPr>
        <w:t xml:space="preserve"> 7</w:t>
      </w:r>
      <w:r>
        <w:rPr>
          <w:rStyle w:val="22"/>
          <w:rFonts w:hint="eastAsia" w:ascii="Times New Roman" w:hAnsi="Times New Roman" w:eastAsia="宋体" w:cs="Times New Roman"/>
          <w:kern w:val="2"/>
          <w:szCs w:val="24"/>
          <w:rtl w:val="0"/>
          <w:lang w:val="zh-TW" w:eastAsia="zh-TW" w:bidi="ar-SA"/>
        </w:rPr>
        <w:t>月</w:t>
      </w:r>
      <w:r>
        <w:rPr>
          <w:rStyle w:val="22"/>
          <w:rFonts w:hint="eastAsia" w:ascii="Times New Roman" w:hAnsi="Times New Roman" w:eastAsia="宋体" w:cs="Times New Roman"/>
          <w:kern w:val="2"/>
          <w:szCs w:val="24"/>
          <w:rtl w:val="0"/>
          <w:lang w:val="en-US" w:eastAsia="zh-CN" w:bidi="ar-SA"/>
        </w:rPr>
        <w:t xml:space="preserve"> 29</w:t>
      </w:r>
      <w:r>
        <w:rPr>
          <w:rStyle w:val="22"/>
          <w:rFonts w:hint="eastAsia" w:ascii="Times New Roman" w:hAnsi="Times New Roman" w:eastAsia="宋体" w:cs="Times New Roman"/>
          <w:kern w:val="2"/>
          <w:szCs w:val="24"/>
          <w:rtl w:val="0"/>
          <w:lang w:val="zh-TW" w:eastAsia="zh-TW" w:bidi="ar-SA"/>
        </w:rPr>
        <w:t>日</w:t>
      </w:r>
      <w:r>
        <w:rPr>
          <w:rStyle w:val="22"/>
          <w:rFonts w:hint="eastAsia" w:ascii="Times New Roman" w:hAnsi="Times New Roman" w:eastAsia="宋体" w:cs="Times New Roman"/>
          <w:kern w:val="2"/>
          <w:szCs w:val="24"/>
          <w:rtl w:val="0"/>
          <w:lang w:val="zh-TW" w:eastAsia="zh-CN" w:bidi="ar-SA"/>
        </w:rPr>
        <w:t>下</w:t>
      </w:r>
      <w:r>
        <w:rPr>
          <w:rStyle w:val="22"/>
          <w:rFonts w:hint="eastAsia" w:ascii="Times New Roman" w:hAnsi="Times New Roman" w:eastAsia="宋体" w:cs="Times New Roman"/>
          <w:kern w:val="2"/>
          <w:szCs w:val="24"/>
          <w:rtl w:val="0"/>
          <w:lang w:val="zh-TW" w:eastAsia="zh-TW" w:bidi="ar-SA"/>
        </w:rPr>
        <w:t>午</w:t>
      </w:r>
      <w:r>
        <w:rPr>
          <w:rStyle w:val="22"/>
          <w:rFonts w:hint="eastAsia" w:ascii="Times New Roman" w:hAnsi="Times New Roman" w:eastAsia="宋体" w:cs="Times New Roman"/>
          <w:kern w:val="2"/>
          <w:szCs w:val="24"/>
          <w:rtl w:val="0"/>
          <w:lang w:val="en-US" w:eastAsia="zh-CN" w:bidi="ar-SA"/>
        </w:rPr>
        <w:t>16:00</w:t>
      </w:r>
      <w:r>
        <w:rPr>
          <w:rStyle w:val="22"/>
          <w:rFonts w:hint="eastAsia" w:ascii="Times New Roman" w:hAnsi="Times New Roman" w:eastAsia="宋体" w:cs="Times New Roman"/>
          <w:kern w:val="2"/>
          <w:szCs w:val="24"/>
          <w:rtl w:val="0"/>
          <w:lang w:val="en-US" w:eastAsia="zh-TW" w:bidi="ar-SA"/>
        </w:rPr>
        <w:t>(</w:t>
      </w:r>
      <w:r>
        <w:rPr>
          <w:rStyle w:val="22"/>
          <w:rFonts w:hint="eastAsia" w:ascii="Times New Roman" w:hAnsi="Times New Roman" w:eastAsia="宋体" w:cs="Times New Roman"/>
          <w:kern w:val="2"/>
          <w:szCs w:val="24"/>
          <w:rtl w:val="0"/>
          <w:lang w:val="zh-TW" w:eastAsia="zh-TW" w:bidi="ar-SA"/>
        </w:rPr>
        <w:t>北京时间）至递交响应文件截止时间。</w:t>
      </w:r>
    </w:p>
    <w:p w14:paraId="6DBE4343">
      <w:pPr>
        <w:jc w:val="left"/>
        <w:rPr>
          <w:rStyle w:val="20"/>
          <w:rFonts w:ascii="仿宋" w:hAnsi="仿宋" w:eastAsia="仿宋" w:cs="仿宋"/>
          <w:sz w:val="28"/>
          <w:szCs w:val="28"/>
          <w:rtl w:val="0"/>
          <w:lang w:val="zh-TW" w:eastAsia="zh-TW"/>
        </w:rPr>
      </w:pPr>
      <w:r>
        <w:rPr>
          <w:rStyle w:val="20"/>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响应文件必须在递交响应文件截止时间前送达比选地点。逾期送达的响应文件恕不接受。（若有需要调整递交响应文件截止时间或地址的情况，请以古蔺县中医医院官网发布的通知公告准。）</w:t>
      </w:r>
    </w:p>
    <w:p w14:paraId="6659CB41">
      <w:pPr>
        <w:pStyle w:val="9"/>
        <w:framePr w:wrap="auto" w:vAnchor="margin" w:hAnchor="text" w:yAlign="inline"/>
        <w:spacing w:line="420" w:lineRule="exact"/>
        <w:ind w:firstLine="480"/>
        <w:rPr>
          <w:rStyle w:val="22"/>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2"/>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14:paraId="5423662C">
      <w:pPr>
        <w:spacing w:after="120" w:line="440" w:lineRule="exact"/>
        <w:rPr>
          <w:rStyle w:val="21"/>
          <w:rFonts w:ascii="仿宋" w:hAnsi="仿宋" w:eastAsia="仿宋" w:cs="仿宋"/>
          <w:color w:val="000000"/>
          <w:sz w:val="24"/>
          <w:szCs w:val="24"/>
          <w:u w:val="single" w:color="000000"/>
          <w:lang w:val="zh-TW" w:eastAsia="zh-TW"/>
        </w:rPr>
      </w:pPr>
      <w:r>
        <w:rPr>
          <w:rStyle w:val="22"/>
          <w:rFonts w:hint="eastAsia" w:ascii="Times New Roman" w:hAnsi="Times New Roman" w:eastAsia="宋体" w:cs="Times New Roman"/>
          <w:kern w:val="2"/>
          <w:szCs w:val="24"/>
          <w:rtl w:val="0"/>
          <w:lang w:val="zh-TW" w:eastAsia="zh-TW" w:bidi="ar-SA"/>
        </w:rPr>
        <w:t>七、递交响应文件地点：古蔺县中医医院行政二楼会议室；</w:t>
      </w:r>
    </w:p>
    <w:p w14:paraId="323B024E">
      <w:pPr>
        <w:spacing w:after="50" w:line="420" w:lineRule="exact"/>
        <w:ind w:firstLine="482"/>
        <w:rPr>
          <w:rStyle w:val="20"/>
          <w:rFonts w:ascii="仿宋" w:hAnsi="仿宋" w:eastAsia="仿宋" w:cs="仿宋"/>
          <w:sz w:val="28"/>
          <w:szCs w:val="28"/>
          <w:rtl w:val="0"/>
          <w:lang w:val="zh-TW" w:eastAsia="zh-TW"/>
        </w:rPr>
      </w:pPr>
      <w:r>
        <w:rPr>
          <w:rStyle w:val="22"/>
          <w:rFonts w:hint="eastAsia" w:ascii="Times New Roman" w:hAnsi="Times New Roman" w:eastAsia="宋体" w:cs="Times New Roman"/>
          <w:kern w:val="2"/>
          <w:szCs w:val="24"/>
          <w:rtl w:val="0"/>
          <w:lang w:val="zh-TW" w:eastAsia="zh-TW" w:bidi="ar-SA"/>
        </w:rPr>
        <w:t>具体地址：</w:t>
      </w:r>
      <w:r>
        <w:rPr>
          <w:rStyle w:val="20"/>
          <w:rFonts w:ascii="仿宋" w:hAnsi="仿宋" w:eastAsia="仿宋" w:cs="仿宋"/>
          <w:sz w:val="28"/>
          <w:szCs w:val="28"/>
          <w:rtl w:val="0"/>
          <w:lang w:val="zh-TW" w:eastAsia="zh-TW"/>
        </w:rPr>
        <w:t>泸州市古蔺县金兰街道落鸿路</w:t>
      </w:r>
      <w:r>
        <w:rPr>
          <w:rStyle w:val="20"/>
          <w:rFonts w:ascii="仿宋" w:hAnsi="仿宋" w:eastAsia="仿宋" w:cs="仿宋"/>
          <w:sz w:val="28"/>
          <w:szCs w:val="28"/>
          <w:rtl w:val="0"/>
          <w:lang w:val="en-US" w:eastAsia="zh-TW"/>
        </w:rPr>
        <w:t>56</w:t>
      </w:r>
      <w:r>
        <w:rPr>
          <w:rStyle w:val="20"/>
          <w:rFonts w:ascii="仿宋" w:hAnsi="仿宋" w:eastAsia="仿宋" w:cs="仿宋"/>
          <w:sz w:val="28"/>
          <w:szCs w:val="28"/>
          <w:rtl w:val="0"/>
          <w:lang w:val="zh-TW" w:eastAsia="zh-TW"/>
        </w:rPr>
        <w:t>号；</w:t>
      </w:r>
    </w:p>
    <w:p w14:paraId="28ED4CB1">
      <w:pPr>
        <w:spacing w:line="420" w:lineRule="exact"/>
        <w:rPr>
          <w:rStyle w:val="21"/>
          <w:rFonts w:ascii="仿宋" w:hAnsi="仿宋" w:eastAsia="仿宋" w:cs="仿宋"/>
          <w:color w:val="000000"/>
          <w:sz w:val="24"/>
          <w:szCs w:val="24"/>
          <w:u w:color="000000"/>
        </w:rPr>
      </w:pP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 xml:space="preserve"> 7</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29</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下</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午</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16:30</w:t>
      </w:r>
      <w:r>
        <w:rPr>
          <w:rStyle w:val="20"/>
          <w:rFonts w:ascii="仿宋" w:hAnsi="仿宋" w:eastAsia="仿宋" w:cs="仿宋"/>
          <w:sz w:val="28"/>
          <w:szCs w:val="28"/>
          <w:rtl w:val="0"/>
          <w:lang w:val="zh-TW" w:eastAsia="zh-TW"/>
        </w:rPr>
        <w:t>（北京时间）</w:t>
      </w:r>
      <w:r>
        <w:rPr>
          <w:rStyle w:val="21"/>
          <w:rFonts w:ascii="仿宋" w:hAnsi="仿宋" w:eastAsia="仿宋" w:cs="仿宋"/>
          <w:color w:val="000000"/>
          <w:sz w:val="24"/>
          <w:szCs w:val="24"/>
          <w:u w:color="000000"/>
          <w:rtl w:val="0"/>
          <w:lang w:val="zh-TW" w:eastAsia="zh-TW"/>
        </w:rPr>
        <w:t>。</w:t>
      </w:r>
    </w:p>
    <w:p w14:paraId="76A33A78">
      <w:pPr>
        <w:spacing w:line="420" w:lineRule="exact"/>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2"/>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14:paraId="65A54FB2">
      <w:pPr>
        <w:spacing w:after="50" w:line="420" w:lineRule="exact"/>
        <w:ind w:firstLine="482"/>
        <w:rPr>
          <w:rStyle w:val="21"/>
          <w:rFonts w:ascii="仿宋" w:hAnsi="仿宋" w:eastAsia="仿宋" w:cs="仿宋"/>
          <w:color w:val="000000"/>
          <w:sz w:val="30"/>
          <w:szCs w:val="30"/>
          <w:u w:color="000000"/>
        </w:rPr>
      </w:pPr>
      <w:r>
        <w:rPr>
          <w:rStyle w:val="21"/>
          <w:rFonts w:ascii="仿宋" w:hAnsi="仿宋" w:eastAsia="仿宋" w:cs="仿宋"/>
          <w:b/>
          <w:bCs/>
          <w:color w:val="000000"/>
          <w:sz w:val="30"/>
          <w:szCs w:val="30"/>
          <w:u w:color="000000"/>
          <w:rtl w:val="0"/>
          <w:lang w:val="zh-TW" w:eastAsia="zh-TW"/>
        </w:rPr>
        <w:t>具体地址：</w:t>
      </w:r>
      <w:r>
        <w:rPr>
          <w:rStyle w:val="21"/>
          <w:rFonts w:ascii="仿宋" w:hAnsi="仿宋" w:eastAsia="仿宋" w:cs="仿宋"/>
          <w:color w:val="000000"/>
          <w:sz w:val="30"/>
          <w:szCs w:val="30"/>
          <w:u w:val="single" w:color="000000"/>
          <w:rtl w:val="0"/>
          <w:lang w:val="zh-TW" w:eastAsia="zh-TW"/>
        </w:rPr>
        <w:t>古蔺县金兰街道落鸿路56号；</w:t>
      </w:r>
    </w:p>
    <w:p w14:paraId="183130C8">
      <w:pPr>
        <w:pStyle w:val="23"/>
        <w:framePr w:wrap="auto" w:vAnchor="margin" w:hAnchor="text" w:yAlign="inline"/>
        <w:spacing w:line="440" w:lineRule="exact"/>
        <w:ind w:firstLine="0"/>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1"/>
          <w:rFonts w:ascii="仿宋" w:hAnsi="仿宋" w:eastAsia="仿宋" w:cs="仿宋"/>
          <w:b/>
          <w:bCs/>
          <w:color w:val="000000"/>
          <w:sz w:val="24"/>
          <w:szCs w:val="24"/>
          <w:u w:color="000000"/>
          <w:rtl w:val="0"/>
          <w:lang w:val="zh-TW" w:eastAsia="zh-TW"/>
        </w:rPr>
        <w:t>十</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14:paraId="18477B25">
      <w:pPr>
        <w:pStyle w:val="23"/>
        <w:framePr w:wrap="auto" w:vAnchor="margin" w:hAnchor="text" w:yAlign="inline"/>
        <w:spacing w:line="440" w:lineRule="exact"/>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14:paraId="6F194869">
      <w:pPr>
        <w:pStyle w:val="23"/>
        <w:framePr w:wrap="auto" w:vAnchor="margin" w:hAnchor="text" w:yAlign="inline"/>
        <w:spacing w:line="440" w:lineRule="exact"/>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14:paraId="2052927B">
      <w:pPr>
        <w:pStyle w:val="23"/>
        <w:framePr w:wrap="auto" w:vAnchor="margin" w:hAnchor="text" w:yAlign="inline"/>
        <w:spacing w:line="440" w:lineRule="exact"/>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14:paraId="2BF37924">
      <w:pPr>
        <w:pStyle w:val="23"/>
        <w:framePr w:wrap="auto" w:vAnchor="margin" w:hAnchor="text" w:yAlign="inline"/>
        <w:shd w:val="clear" w:color="auto" w:fill="auto"/>
        <w:spacing w:line="440" w:lineRule="exact"/>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1"/>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14:paraId="2D990BC7">
      <w:pPr>
        <w:pStyle w:val="23"/>
        <w:framePr w:wrap="auto" w:vAnchor="margin" w:hAnchor="text" w:yAlign="inline"/>
        <w:shd w:val="clear" w:color="auto" w:fill="auto"/>
        <w:spacing w:line="440" w:lineRule="exact"/>
        <w:ind w:left="0" w:leftChars="0" w:firstLine="9000" w:firstLineChars="3000"/>
        <w:rPr>
          <w:rStyle w:val="21"/>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14:paraId="425CA61C">
      <w:pPr>
        <w:pStyle w:val="23"/>
        <w:framePr w:wrap="auto" w:vAnchor="margin" w:hAnchor="text" w:yAlign="inline"/>
        <w:shd w:val="clear" w:color="auto" w:fill="auto"/>
        <w:spacing w:line="440" w:lineRule="exact"/>
        <w:ind w:firstLine="7779" w:firstLineChars="2593"/>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14:paraId="1F0DDE5C">
      <w:pPr>
        <w:pStyle w:val="23"/>
        <w:framePr w:wrap="auto" w:vAnchor="margin" w:hAnchor="text" w:yAlign="inline"/>
        <w:shd w:val="clear" w:color="auto" w:fill="auto"/>
        <w:spacing w:line="440" w:lineRule="exact"/>
        <w:ind w:firstLine="7779" w:firstLineChars="2593"/>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1"/>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1"/>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 xml:space="preserve"> 7 </w:t>
      </w:r>
      <w:r>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1"/>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 xml:space="preserve"> 23</w:t>
      </w:r>
      <w:r>
        <w:rPr>
          <w:rStyle w:val="21"/>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14:paraId="4E37164E">
      <w:pPr>
        <w:pStyle w:val="25"/>
        <w:rPr>
          <w:rFonts w:hint="eastAsia" w:ascii="Arial Black" w:hAnsi="Arial Black" w:cs="Arial Black"/>
          <w:b/>
          <w:bCs/>
          <w:sz w:val="28"/>
          <w:szCs w:val="28"/>
          <w:lang w:val="en-US" w:eastAsia="zh-CN"/>
        </w:rPr>
      </w:pPr>
    </w:p>
    <w:p w14:paraId="401C5EA5">
      <w:pPr>
        <w:pStyle w:val="25"/>
        <w:rPr>
          <w:rFonts w:hint="eastAsia" w:ascii="Arial Black" w:hAnsi="Arial Black" w:cs="Arial Black"/>
          <w:b/>
          <w:bCs/>
          <w:sz w:val="28"/>
          <w:szCs w:val="28"/>
          <w:lang w:val="en-US" w:eastAsia="zh-CN"/>
        </w:rPr>
      </w:pPr>
    </w:p>
    <w:p w14:paraId="66D681B2">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14:paraId="1180778E">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14:paraId="7A664C80">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14:paraId="3F8B4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”此函，决定参加贵单位组织的本项目投标报价。我方授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14:paraId="0B0F1ADC">
      <w:pPr>
        <w:pStyle w:val="10"/>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1、我方自愿按照比选文件规定的各项要求向采购人提供所需货物/服务。</w:t>
      </w:r>
    </w:p>
    <w:p w14:paraId="262A90A5">
      <w:pPr>
        <w:pStyle w:val="10"/>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2、一旦我方中标，我方将严格履行合同规定的责任和义务。</w:t>
      </w:r>
    </w:p>
    <w:p w14:paraId="1EBC569F">
      <w:pPr>
        <w:pStyle w:val="10"/>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3、我方为本项目提交的投标文件正本1份，副本2份。</w:t>
      </w:r>
    </w:p>
    <w:p w14:paraId="1ED84255">
      <w:pPr>
        <w:pStyle w:val="10"/>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4、我方承诺投标有效期为开标后 90天（日历日）。</w:t>
      </w:r>
    </w:p>
    <w:p w14:paraId="4CB83C6C">
      <w:pPr>
        <w:pStyle w:val="10"/>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5、我方愿意提供贵公司可能另外要求的，与投标有关的文件资料，并保证我方已提供和将要提供的文件资料是真实、准确的。</w:t>
      </w:r>
    </w:p>
    <w:p w14:paraId="79707E6F">
      <w:pPr>
        <w:ind w:firstLine="480" w:firstLineChars="200"/>
        <w:rPr>
          <w:rFonts w:hint="eastAsia" w:ascii="Arial Black" w:hAnsi="Arial Black" w:cs="Arial Black" w:eastAsiaTheme="minorEastAsia"/>
          <w:b w:val="0"/>
          <w:bCs w:val="0"/>
          <w:kern w:val="2"/>
          <w:sz w:val="24"/>
          <w:szCs w:val="24"/>
          <w:rtl w:val="0"/>
          <w:lang w:val="zh-TW" w:eastAsia="zh-TW" w:bidi="ar-SA"/>
        </w:rPr>
      </w:pPr>
      <w:r>
        <w:rPr>
          <w:rFonts w:hint="eastAsia" w:ascii="Arial Black" w:hAnsi="Arial Black" w:cs="Arial Black" w:eastAsiaTheme="minorEastAsia"/>
          <w:b w:val="0"/>
          <w:bCs w:val="0"/>
          <w:kern w:val="2"/>
          <w:sz w:val="24"/>
          <w:szCs w:val="24"/>
          <w:rtl w:val="0"/>
          <w:lang w:val="en-US" w:eastAsia="zh-CN" w:bidi="ar-SA"/>
        </w:rPr>
        <w:t>6、</w:t>
      </w:r>
      <w:r>
        <w:rPr>
          <w:rFonts w:hint="eastAsia" w:ascii="Arial Black" w:hAnsi="Arial Black" w:cs="Arial Black" w:eastAsiaTheme="minorEastAsia"/>
          <w:b w:val="0"/>
          <w:bCs w:val="0"/>
          <w:kern w:val="2"/>
          <w:sz w:val="24"/>
          <w:szCs w:val="24"/>
          <w:rtl w:val="0"/>
          <w:lang w:val="zh-TW" w:eastAsia="zh-TW" w:bidi="ar-SA"/>
        </w:rPr>
        <w:t>按照要求的总报价为人民币大写</w:t>
      </w:r>
      <w:r>
        <w:rPr>
          <w:rFonts w:hint="eastAsia" w:ascii="Arial Black" w:hAnsi="Arial Black" w:cs="Arial Black" w:eastAsiaTheme="minorEastAsia"/>
          <w:b w:val="0"/>
          <w:bCs w:val="0"/>
          <w:kern w:val="2"/>
          <w:sz w:val="24"/>
          <w:szCs w:val="24"/>
          <w:rtl w:val="0"/>
          <w:lang w:val="en-US" w:eastAsia="zh-CN" w:bidi="ar-SA"/>
        </w:rPr>
        <w:t xml:space="preserve">           </w:t>
      </w:r>
      <w:r>
        <w:rPr>
          <w:rFonts w:hint="eastAsia" w:ascii="Arial Black" w:hAnsi="Arial Black" w:cs="Arial Black" w:eastAsiaTheme="minorEastAsia"/>
          <w:b w:val="0"/>
          <w:bCs w:val="0"/>
          <w:kern w:val="2"/>
          <w:sz w:val="24"/>
          <w:szCs w:val="24"/>
          <w:rtl w:val="0"/>
          <w:lang w:val="zh-TW" w:eastAsia="zh-TW" w:bidi="ar-SA"/>
        </w:rPr>
        <w:t>元整（即￥           ）</w:t>
      </w:r>
    </w:p>
    <w:tbl>
      <w:tblPr>
        <w:tblStyle w:val="15"/>
        <w:tblpPr w:leftFromText="180" w:rightFromText="180" w:vertAnchor="text" w:horzAnchor="page" w:tblpX="1007" w:tblpY="390"/>
        <w:tblOverlap w:val="never"/>
        <w:tblW w:w="4839"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275"/>
        <w:gridCol w:w="1823"/>
        <w:gridCol w:w="2883"/>
        <w:gridCol w:w="1252"/>
      </w:tblGrid>
      <w:tr w14:paraId="64C920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72" w:type="pct"/>
            <w:tcBorders>
              <w:tl2br w:val="nil"/>
              <w:tr2bl w:val="nil"/>
            </w:tcBorders>
            <w:vAlign w:val="center"/>
          </w:tcPr>
          <w:p w14:paraId="3760E204">
            <w:pPr>
              <w:spacing w:line="400" w:lineRule="exact"/>
              <w:jc w:val="center"/>
              <w:rPr>
                <w:rFonts w:hint="default" w:ascii="仿宋" w:hAnsi="仿宋" w:eastAsia="仿宋"/>
                <w:sz w:val="21"/>
                <w:szCs w:val="21"/>
                <w:lang w:val="en-US"/>
              </w:rPr>
            </w:pPr>
            <w:r>
              <w:rPr>
                <w:rFonts w:hint="eastAsia" w:ascii="仿宋" w:hAnsi="仿宋" w:eastAsia="仿宋"/>
                <w:sz w:val="21"/>
                <w:szCs w:val="21"/>
                <w:lang w:val="en-US" w:eastAsia="zh-CN"/>
              </w:rPr>
              <w:t>品目号</w:t>
            </w:r>
          </w:p>
        </w:tc>
        <w:tc>
          <w:tcPr>
            <w:tcW w:w="1606" w:type="pct"/>
            <w:tcBorders>
              <w:tl2br w:val="nil"/>
              <w:tr2bl w:val="nil"/>
            </w:tcBorders>
            <w:vAlign w:val="center"/>
          </w:tcPr>
          <w:p w14:paraId="76412039">
            <w:pPr>
              <w:spacing w:line="40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服务内容</w:t>
            </w:r>
          </w:p>
        </w:tc>
        <w:tc>
          <w:tcPr>
            <w:tcW w:w="894" w:type="pct"/>
            <w:tcBorders>
              <w:tl2br w:val="nil"/>
              <w:tr2bl w:val="nil"/>
            </w:tcBorders>
            <w:vAlign w:val="center"/>
          </w:tcPr>
          <w:p w14:paraId="727E785A">
            <w:pPr>
              <w:spacing w:line="40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服务年限</w:t>
            </w:r>
          </w:p>
        </w:tc>
        <w:tc>
          <w:tcPr>
            <w:tcW w:w="1414" w:type="pct"/>
            <w:tcBorders>
              <w:tl2br w:val="nil"/>
              <w:tr2bl w:val="nil"/>
            </w:tcBorders>
            <w:vAlign w:val="center"/>
          </w:tcPr>
          <w:p w14:paraId="5A905337">
            <w:pPr>
              <w:spacing w:line="400" w:lineRule="exact"/>
              <w:jc w:val="center"/>
              <w:rPr>
                <w:rFonts w:ascii="仿宋" w:hAnsi="仿宋" w:eastAsia="仿宋"/>
                <w:sz w:val="21"/>
                <w:szCs w:val="21"/>
              </w:rPr>
            </w:pPr>
            <w:r>
              <w:rPr>
                <w:rFonts w:hint="eastAsia" w:ascii="仿宋" w:hAnsi="仿宋" w:eastAsia="仿宋"/>
                <w:sz w:val="21"/>
                <w:szCs w:val="21"/>
              </w:rPr>
              <w:t>投标总价（万元）</w:t>
            </w:r>
          </w:p>
        </w:tc>
        <w:tc>
          <w:tcPr>
            <w:tcW w:w="612" w:type="pct"/>
            <w:tcBorders>
              <w:tl2br w:val="nil"/>
              <w:tr2bl w:val="nil"/>
            </w:tcBorders>
            <w:vAlign w:val="center"/>
          </w:tcPr>
          <w:p w14:paraId="172990DB">
            <w:pPr>
              <w:spacing w:line="400" w:lineRule="exact"/>
              <w:jc w:val="center"/>
              <w:rPr>
                <w:rFonts w:hint="eastAsia" w:ascii="仿宋" w:hAnsi="仿宋" w:eastAsia="仿宋"/>
                <w:sz w:val="21"/>
                <w:szCs w:val="21"/>
              </w:rPr>
            </w:pPr>
            <w:r>
              <w:rPr>
                <w:rFonts w:hint="eastAsia" w:ascii="仿宋" w:hAnsi="仿宋" w:eastAsia="仿宋"/>
                <w:sz w:val="21"/>
                <w:szCs w:val="21"/>
              </w:rPr>
              <w:t>备注</w:t>
            </w:r>
          </w:p>
        </w:tc>
      </w:tr>
      <w:tr w14:paraId="034C2E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2" w:type="pct"/>
            <w:tcBorders>
              <w:tl2br w:val="nil"/>
              <w:tr2bl w:val="nil"/>
            </w:tcBorders>
          </w:tcPr>
          <w:p w14:paraId="17E161EE">
            <w:pPr>
              <w:spacing w:line="40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01-01</w:t>
            </w:r>
          </w:p>
        </w:tc>
        <w:tc>
          <w:tcPr>
            <w:tcW w:w="1606" w:type="pct"/>
            <w:tcBorders>
              <w:tl2br w:val="nil"/>
              <w:tr2bl w:val="nil"/>
            </w:tcBorders>
            <w:vAlign w:val="top"/>
          </w:tcPr>
          <w:p w14:paraId="04619E7F">
            <w:pPr>
              <w:spacing w:line="400" w:lineRule="exact"/>
              <w:jc w:val="center"/>
              <w:rPr>
                <w:rFonts w:hint="eastAsia" w:ascii="仿宋" w:hAnsi="仿宋" w:eastAsia="仿宋"/>
                <w:sz w:val="21"/>
                <w:szCs w:val="21"/>
                <w:lang w:val="en-US" w:eastAsia="zh-CN"/>
              </w:rPr>
            </w:pPr>
            <w:r>
              <w:rPr>
                <w:rFonts w:hint="default" w:ascii="仿宋" w:hAnsi="仿宋" w:eastAsia="仿宋"/>
                <w:b w:val="0"/>
                <w:bCs w:val="0"/>
                <w:sz w:val="21"/>
                <w:szCs w:val="21"/>
                <w:vertAlign w:val="baseline"/>
                <w:lang w:val="en-US" w:eastAsia="zh-CN"/>
              </w:rPr>
              <w:t>电梯维护保养服务</w:t>
            </w:r>
          </w:p>
        </w:tc>
        <w:tc>
          <w:tcPr>
            <w:tcW w:w="894" w:type="pct"/>
            <w:tcBorders>
              <w:tl2br w:val="nil"/>
              <w:tr2bl w:val="nil"/>
            </w:tcBorders>
            <w:vAlign w:val="center"/>
          </w:tcPr>
          <w:p w14:paraId="6F784D30">
            <w:pPr>
              <w:spacing w:line="40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合同签订后1年</w:t>
            </w:r>
          </w:p>
        </w:tc>
        <w:tc>
          <w:tcPr>
            <w:tcW w:w="1414" w:type="pct"/>
            <w:tcBorders>
              <w:tl2br w:val="nil"/>
              <w:tr2bl w:val="nil"/>
            </w:tcBorders>
            <w:vAlign w:val="center"/>
          </w:tcPr>
          <w:p w14:paraId="6AA9C1A2">
            <w:pPr>
              <w:spacing w:line="400" w:lineRule="exact"/>
              <w:jc w:val="center"/>
              <w:rPr>
                <w:rFonts w:hint="eastAsia" w:ascii="仿宋" w:hAnsi="仿宋" w:eastAsia="仿宋"/>
                <w:sz w:val="21"/>
                <w:szCs w:val="21"/>
                <w:lang w:val="en-US" w:eastAsia="zh-CN"/>
              </w:rPr>
            </w:pPr>
          </w:p>
        </w:tc>
        <w:tc>
          <w:tcPr>
            <w:tcW w:w="612" w:type="pct"/>
            <w:tcBorders>
              <w:tl2br w:val="nil"/>
              <w:tr2bl w:val="nil"/>
            </w:tcBorders>
            <w:vAlign w:val="center"/>
          </w:tcPr>
          <w:p w14:paraId="7165CB4A">
            <w:pPr>
              <w:spacing w:line="400" w:lineRule="exact"/>
              <w:jc w:val="center"/>
              <w:rPr>
                <w:rFonts w:hint="eastAsia" w:ascii="仿宋" w:hAnsi="仿宋" w:eastAsia="仿宋"/>
                <w:sz w:val="21"/>
                <w:szCs w:val="21"/>
                <w:lang w:val="en-US" w:eastAsia="zh-CN"/>
              </w:rPr>
            </w:pPr>
          </w:p>
        </w:tc>
      </w:tr>
      <w:tr w14:paraId="5CE89E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000" w:type="pct"/>
            <w:gridSpan w:val="5"/>
            <w:tcBorders>
              <w:tl2br w:val="nil"/>
              <w:tr2bl w:val="nil"/>
            </w:tcBorders>
          </w:tcPr>
          <w:p w14:paraId="49D550FA">
            <w:pPr>
              <w:spacing w:line="400" w:lineRule="exact"/>
              <w:rPr>
                <w:rFonts w:hint="eastAsia" w:ascii="仿宋" w:hAnsi="仿宋" w:eastAsia="仿宋"/>
                <w:sz w:val="21"/>
                <w:szCs w:val="21"/>
              </w:rPr>
            </w:pPr>
            <w:r>
              <w:rPr>
                <w:rFonts w:hint="eastAsia" w:ascii="仿宋" w:hAnsi="仿宋" w:eastAsia="仿宋"/>
                <w:sz w:val="21"/>
                <w:szCs w:val="21"/>
              </w:rPr>
              <w:t xml:space="preserve">报价合计（万元）：     </w:t>
            </w:r>
            <w:r>
              <w:rPr>
                <w:rFonts w:hint="eastAsia" w:ascii="仿宋" w:hAnsi="仿宋" w:eastAsia="仿宋"/>
                <w:sz w:val="21"/>
                <w:szCs w:val="21"/>
                <w:lang w:val="en-US" w:eastAsia="zh-CN"/>
              </w:rPr>
              <w:t xml:space="preserve">  </w:t>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 xml:space="preserve"> 大写：</w:t>
            </w:r>
          </w:p>
        </w:tc>
      </w:tr>
    </w:tbl>
    <w:p w14:paraId="166A8D07">
      <w:pPr>
        <w:pStyle w:val="25"/>
        <w:rPr>
          <w:rFonts w:hint="eastAsia"/>
          <w:lang w:val="en-US" w:eastAsia="zh-CN"/>
        </w:rPr>
      </w:pPr>
    </w:p>
    <w:p w14:paraId="55CD593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u w:val="none"/>
          <w:lang w:val="en-US" w:eastAsia="zh-CN"/>
        </w:rPr>
      </w:pPr>
    </w:p>
    <w:p w14:paraId="7F19CE83">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7、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14:paraId="3AAD2C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14:paraId="2119B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14:paraId="16857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p>
    <w:p w14:paraId="1EC75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xml:space="preserve">：                        </w:t>
      </w:r>
    </w:p>
    <w:p w14:paraId="34275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Arial Black" w:hAnsi="Arial Black" w:cs="Arial Black"/>
          <w:b w:val="0"/>
          <w:bCs w:val="0"/>
          <w:sz w:val="24"/>
          <w:szCs w:val="24"/>
          <w:lang w:val="en-US" w:eastAsia="zh-CN"/>
        </w:rPr>
        <w:t>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 年 月 日</w:t>
      </w:r>
    </w:p>
    <w:p w14:paraId="2DECC4F0">
      <w:pPr>
        <w:pStyle w:val="19"/>
        <w:rPr>
          <w:rFonts w:hint="eastAsia"/>
          <w:lang w:val="en-US" w:eastAsia="zh-CN"/>
        </w:rPr>
      </w:pPr>
    </w:p>
    <w:p w14:paraId="5536D20B">
      <w:pPr>
        <w:pStyle w:val="19"/>
        <w:rPr>
          <w:rFonts w:hint="eastAsia"/>
          <w:lang w:val="en-US" w:eastAsia="zh-CN"/>
        </w:rPr>
      </w:pPr>
    </w:p>
    <w:p w14:paraId="47EC2E4F">
      <w:pPr>
        <w:pStyle w:val="19"/>
        <w:rPr>
          <w:rFonts w:hint="eastAsia"/>
          <w:lang w:val="en-US" w:eastAsia="zh-CN"/>
        </w:rPr>
      </w:pPr>
    </w:p>
    <w:p w14:paraId="431A74C5">
      <w:pPr>
        <w:pStyle w:val="19"/>
        <w:rPr>
          <w:rFonts w:hint="eastAsia"/>
          <w:lang w:val="en-US" w:eastAsia="zh-CN"/>
        </w:rPr>
      </w:pPr>
    </w:p>
    <w:p w14:paraId="74F67A32">
      <w:pPr>
        <w:pStyle w:val="19"/>
        <w:rPr>
          <w:rFonts w:hint="eastAsia"/>
          <w:lang w:val="en-US" w:eastAsia="zh-CN"/>
        </w:rPr>
      </w:pPr>
      <w:r>
        <w:rPr>
          <w:rFonts w:hint="eastAsia"/>
          <w:lang w:val="en-US" w:eastAsia="zh-CN"/>
        </w:rPr>
        <w:t>附件2</w:t>
      </w:r>
    </w:p>
    <w:p w14:paraId="55748D3F">
      <w:pPr>
        <w:widowControl w:val="0"/>
        <w:numPr>
          <w:ilvl w:val="0"/>
          <w:numId w:val="1"/>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技术参数</w:t>
      </w:r>
    </w:p>
    <w:tbl>
      <w:tblPr>
        <w:tblStyle w:val="16"/>
        <w:tblpPr w:leftFromText="180" w:rightFromText="180" w:vertAnchor="text" w:horzAnchor="page" w:tblpX="765" w:tblpY="469"/>
        <w:tblOverlap w:val="never"/>
        <w:tblW w:w="10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637"/>
        <w:gridCol w:w="1032"/>
        <w:gridCol w:w="1373"/>
        <w:gridCol w:w="2316"/>
        <w:gridCol w:w="2009"/>
        <w:gridCol w:w="1712"/>
      </w:tblGrid>
      <w:tr w14:paraId="674D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82" w:type="dxa"/>
          </w:tcPr>
          <w:p w14:paraId="119FCCC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Pr>
          <w:p w14:paraId="1B01E6E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标的名称</w:t>
            </w:r>
          </w:p>
        </w:tc>
        <w:tc>
          <w:tcPr>
            <w:tcW w:w="1032" w:type="dxa"/>
          </w:tcPr>
          <w:p w14:paraId="7ECA19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型号</w:t>
            </w:r>
          </w:p>
        </w:tc>
        <w:tc>
          <w:tcPr>
            <w:tcW w:w="1373" w:type="dxa"/>
            <w:vAlign w:val="center"/>
          </w:tcPr>
          <w:p w14:paraId="02B3377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层站门数</w:t>
            </w:r>
          </w:p>
        </w:tc>
        <w:tc>
          <w:tcPr>
            <w:tcW w:w="2316" w:type="dxa"/>
            <w:vAlign w:val="center"/>
          </w:tcPr>
          <w:p w14:paraId="07DEB7A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安装地点</w:t>
            </w:r>
          </w:p>
        </w:tc>
        <w:tc>
          <w:tcPr>
            <w:tcW w:w="2009" w:type="dxa"/>
            <w:vAlign w:val="center"/>
          </w:tcPr>
          <w:p w14:paraId="589AF9B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制造日期</w:t>
            </w:r>
          </w:p>
        </w:tc>
        <w:tc>
          <w:tcPr>
            <w:tcW w:w="1712" w:type="dxa"/>
            <w:vAlign w:val="center"/>
          </w:tcPr>
          <w:p w14:paraId="189DC75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年检要求</w:t>
            </w:r>
          </w:p>
        </w:tc>
      </w:tr>
      <w:tr w14:paraId="6729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5843E884">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1</w:t>
            </w:r>
          </w:p>
        </w:tc>
        <w:tc>
          <w:tcPr>
            <w:tcW w:w="1637" w:type="dxa"/>
            <w:vAlign w:val="center"/>
          </w:tcPr>
          <w:p w14:paraId="4DC6741F">
            <w:pPr>
              <w:keepNext w:val="0"/>
              <w:keepLines w:val="0"/>
              <w:widowControl/>
              <w:suppressLineNumbers w:val="0"/>
              <w:jc w:val="left"/>
              <w:textAlignment w:val="center"/>
              <w:rPr>
                <w:rFonts w:hint="eastAsia" w:ascii="宋体" w:hAnsi="宋体" w:eastAsia="宋体" w:cs="宋体"/>
                <w:b w:val="0"/>
                <w:bCs w:val="0"/>
                <w:sz w:val="30"/>
                <w:szCs w:val="30"/>
                <w:vertAlign w:val="baseline"/>
                <w:lang w:eastAsia="zh-CN"/>
              </w:rPr>
            </w:pPr>
            <w:r>
              <w:rPr>
                <w:rFonts w:hint="eastAsia" w:ascii="宋体" w:hAnsi="宋体" w:eastAsia="宋体" w:cs="宋体"/>
                <w:b/>
                <w:bCs/>
                <w:i w:val="0"/>
                <w:iCs w:val="0"/>
                <w:color w:val="000000"/>
                <w:kern w:val="0"/>
                <w:sz w:val="22"/>
                <w:szCs w:val="22"/>
                <w:u w:val="none"/>
                <w:lang w:val="en-US" w:eastAsia="zh-CN" w:bidi="ar"/>
              </w:rPr>
              <w:t>曳引驱动乘客电梯</w:t>
            </w:r>
          </w:p>
        </w:tc>
        <w:tc>
          <w:tcPr>
            <w:tcW w:w="1032" w:type="dxa"/>
            <w:vAlign w:val="center"/>
          </w:tcPr>
          <w:p w14:paraId="08940D4E">
            <w:pPr>
              <w:keepNext w:val="0"/>
              <w:keepLines w:val="0"/>
              <w:widowControl/>
              <w:suppressLineNumbers w:val="0"/>
              <w:jc w:val="left"/>
              <w:textAlignment w:val="center"/>
              <w:rPr>
                <w:rFonts w:hint="default"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LEHY-IIIB</w:t>
            </w:r>
          </w:p>
        </w:tc>
        <w:tc>
          <w:tcPr>
            <w:tcW w:w="1373" w:type="dxa"/>
            <w:vAlign w:val="center"/>
          </w:tcPr>
          <w:p w14:paraId="30F6EE76">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13层13站13门</w:t>
            </w:r>
          </w:p>
        </w:tc>
        <w:tc>
          <w:tcPr>
            <w:tcW w:w="2316" w:type="dxa"/>
            <w:vAlign w:val="center"/>
          </w:tcPr>
          <w:p w14:paraId="178D4FB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36727E69">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5C1FAD95">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2020.11.09</w:t>
            </w:r>
          </w:p>
        </w:tc>
        <w:tc>
          <w:tcPr>
            <w:tcW w:w="1712" w:type="dxa"/>
            <w:vAlign w:val="center"/>
          </w:tcPr>
          <w:p w14:paraId="5617B7A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5A7C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1300EF26">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2</w:t>
            </w:r>
          </w:p>
        </w:tc>
        <w:tc>
          <w:tcPr>
            <w:tcW w:w="1637" w:type="dxa"/>
            <w:vAlign w:val="center"/>
          </w:tcPr>
          <w:p w14:paraId="74912C3A">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曳引驱动乘客电梯</w:t>
            </w:r>
          </w:p>
        </w:tc>
        <w:tc>
          <w:tcPr>
            <w:tcW w:w="1032" w:type="dxa"/>
            <w:vAlign w:val="center"/>
          </w:tcPr>
          <w:p w14:paraId="3C0CB521">
            <w:pPr>
              <w:keepNext w:val="0"/>
              <w:keepLines w:val="0"/>
              <w:widowControl/>
              <w:suppressLineNumbers w:val="0"/>
              <w:jc w:val="left"/>
              <w:textAlignment w:val="center"/>
              <w:rPr>
                <w:rFonts w:hint="default"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LEHY-IIIB</w:t>
            </w:r>
          </w:p>
        </w:tc>
        <w:tc>
          <w:tcPr>
            <w:tcW w:w="1373" w:type="dxa"/>
            <w:vAlign w:val="center"/>
          </w:tcPr>
          <w:p w14:paraId="06037483">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13层13站13门</w:t>
            </w:r>
          </w:p>
        </w:tc>
        <w:tc>
          <w:tcPr>
            <w:tcW w:w="2316" w:type="dxa"/>
            <w:vAlign w:val="center"/>
          </w:tcPr>
          <w:p w14:paraId="1C2608D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0FB847C3">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7EDE1097">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2020.11.09</w:t>
            </w:r>
          </w:p>
        </w:tc>
        <w:tc>
          <w:tcPr>
            <w:tcW w:w="1712" w:type="dxa"/>
            <w:vAlign w:val="center"/>
          </w:tcPr>
          <w:p w14:paraId="1740114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48E6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5E5A9BD6">
            <w:pPr>
              <w:keepNext w:val="0"/>
              <w:keepLines w:val="0"/>
              <w:widowControl/>
              <w:suppressLineNumbers w:val="0"/>
              <w:jc w:val="left"/>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3</w:t>
            </w:r>
          </w:p>
        </w:tc>
        <w:tc>
          <w:tcPr>
            <w:tcW w:w="1637" w:type="dxa"/>
            <w:vAlign w:val="center"/>
          </w:tcPr>
          <w:p w14:paraId="4537BD5B">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曳引驱动乘客电梯</w:t>
            </w:r>
          </w:p>
        </w:tc>
        <w:tc>
          <w:tcPr>
            <w:tcW w:w="1032" w:type="dxa"/>
            <w:vAlign w:val="center"/>
          </w:tcPr>
          <w:p w14:paraId="2BFCDF3E">
            <w:pPr>
              <w:keepNext w:val="0"/>
              <w:keepLines w:val="0"/>
              <w:widowControl/>
              <w:suppressLineNumbers w:val="0"/>
              <w:jc w:val="left"/>
              <w:textAlignment w:val="center"/>
              <w:rPr>
                <w:rFonts w:hint="default"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LEHY-IIIB</w:t>
            </w:r>
          </w:p>
        </w:tc>
        <w:tc>
          <w:tcPr>
            <w:tcW w:w="1373" w:type="dxa"/>
            <w:vAlign w:val="center"/>
          </w:tcPr>
          <w:p w14:paraId="3313A878">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13层13站13门</w:t>
            </w:r>
          </w:p>
        </w:tc>
        <w:tc>
          <w:tcPr>
            <w:tcW w:w="2316" w:type="dxa"/>
            <w:vAlign w:val="center"/>
          </w:tcPr>
          <w:p w14:paraId="386310D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2DC8B8A7">
            <w:pPr>
              <w:keepNext w:val="0"/>
              <w:keepLines w:val="0"/>
              <w:widowControl/>
              <w:suppressLineNumbers w:val="0"/>
              <w:jc w:val="left"/>
              <w:textAlignment w:val="center"/>
              <w:rPr>
                <w:rFonts w:hint="eastAsia" w:ascii="宋体" w:hAnsi="宋体" w:eastAsia="宋体" w:cs="宋体"/>
                <w:b w:val="0"/>
                <w:bCs w:val="0"/>
                <w:sz w:val="30"/>
                <w:szCs w:val="30"/>
                <w:lang w:eastAsia="zh-CN"/>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12F4D6EC">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2020.11.09</w:t>
            </w:r>
          </w:p>
        </w:tc>
        <w:tc>
          <w:tcPr>
            <w:tcW w:w="1712" w:type="dxa"/>
            <w:vAlign w:val="center"/>
          </w:tcPr>
          <w:p w14:paraId="7B0BF990">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791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71D2D982">
            <w:pPr>
              <w:keepNext w:val="0"/>
              <w:keepLines w:val="0"/>
              <w:widowControl/>
              <w:suppressLineNumbers w:val="0"/>
              <w:jc w:val="left"/>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4</w:t>
            </w:r>
          </w:p>
        </w:tc>
        <w:tc>
          <w:tcPr>
            <w:tcW w:w="1637" w:type="dxa"/>
            <w:vAlign w:val="center"/>
          </w:tcPr>
          <w:p w14:paraId="7A08748D">
            <w:pPr>
              <w:keepNext w:val="0"/>
              <w:keepLines w:val="0"/>
              <w:widowControl/>
              <w:suppressLineNumbers w:val="0"/>
              <w:jc w:val="left"/>
              <w:textAlignment w:val="center"/>
              <w:rPr>
                <w:rFonts w:hint="eastAsia" w:ascii="宋体" w:hAnsi="宋体" w:eastAsia="宋体" w:cs="宋体"/>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自动扶梯</w:t>
            </w:r>
          </w:p>
        </w:tc>
        <w:tc>
          <w:tcPr>
            <w:tcW w:w="1032" w:type="dxa"/>
            <w:vAlign w:val="center"/>
          </w:tcPr>
          <w:p w14:paraId="4C2BB4BB">
            <w:pPr>
              <w:keepNext w:val="0"/>
              <w:keepLines w:val="0"/>
              <w:widowControl/>
              <w:suppressLineNumbers w:val="0"/>
              <w:jc w:val="left"/>
              <w:textAlignment w:val="center"/>
              <w:rPr>
                <w:rFonts w:hint="default" w:ascii="宋体" w:hAnsi="宋体" w:eastAsia="宋体" w:cs="宋体"/>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KS-SBF-II</w:t>
            </w:r>
          </w:p>
        </w:tc>
        <w:tc>
          <w:tcPr>
            <w:tcW w:w="1373" w:type="dxa"/>
            <w:vAlign w:val="center"/>
          </w:tcPr>
          <w:p w14:paraId="2A874762">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w:t>
            </w:r>
          </w:p>
        </w:tc>
        <w:tc>
          <w:tcPr>
            <w:tcW w:w="2316" w:type="dxa"/>
            <w:vAlign w:val="center"/>
          </w:tcPr>
          <w:p w14:paraId="4422EB8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2DD91667">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3CAFCF63">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2020.12.16</w:t>
            </w:r>
          </w:p>
        </w:tc>
        <w:tc>
          <w:tcPr>
            <w:tcW w:w="1712" w:type="dxa"/>
            <w:vAlign w:val="center"/>
          </w:tcPr>
          <w:p w14:paraId="6E24F32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78A9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3325C890">
            <w:pPr>
              <w:keepNext w:val="0"/>
              <w:keepLines w:val="0"/>
              <w:widowControl/>
              <w:suppressLineNumbers w:val="0"/>
              <w:jc w:val="left"/>
              <w:textAlignment w:val="center"/>
              <w:rPr>
                <w:rFonts w:hint="default"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5</w:t>
            </w:r>
          </w:p>
        </w:tc>
        <w:tc>
          <w:tcPr>
            <w:tcW w:w="1637" w:type="dxa"/>
            <w:vAlign w:val="center"/>
          </w:tcPr>
          <w:p w14:paraId="2402BD6D">
            <w:pPr>
              <w:keepNext w:val="0"/>
              <w:keepLines w:val="0"/>
              <w:widowControl/>
              <w:suppressLineNumbers w:val="0"/>
              <w:jc w:val="left"/>
              <w:textAlignment w:val="center"/>
              <w:rPr>
                <w:rFonts w:hint="eastAsia" w:ascii="宋体" w:hAnsi="宋体" w:eastAsia="宋体" w:cs="宋体"/>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自动扶梯</w:t>
            </w:r>
          </w:p>
        </w:tc>
        <w:tc>
          <w:tcPr>
            <w:tcW w:w="1032" w:type="dxa"/>
            <w:vAlign w:val="center"/>
          </w:tcPr>
          <w:p w14:paraId="6A907464">
            <w:pPr>
              <w:keepNext w:val="0"/>
              <w:keepLines w:val="0"/>
              <w:widowControl/>
              <w:suppressLineNumbers w:val="0"/>
              <w:jc w:val="left"/>
              <w:textAlignment w:val="center"/>
              <w:rPr>
                <w:rFonts w:hint="eastAsia" w:ascii="宋体" w:hAnsi="宋体" w:eastAsia="宋体" w:cs="宋体"/>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KS-SBF-II</w:t>
            </w:r>
          </w:p>
        </w:tc>
        <w:tc>
          <w:tcPr>
            <w:tcW w:w="1373" w:type="dxa"/>
            <w:vAlign w:val="center"/>
          </w:tcPr>
          <w:p w14:paraId="6F33715C">
            <w:pPr>
              <w:keepNext w:val="0"/>
              <w:keepLines w:val="0"/>
              <w:widowControl/>
              <w:suppressLineNumbers w:val="0"/>
              <w:jc w:val="left"/>
              <w:textAlignment w:val="center"/>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bCs/>
                <w:i w:val="0"/>
                <w:iCs w:val="0"/>
                <w:color w:val="000000"/>
                <w:kern w:val="0"/>
                <w:sz w:val="22"/>
                <w:szCs w:val="22"/>
                <w:u w:val="none"/>
                <w:lang w:val="en-US" w:eastAsia="zh-CN" w:bidi="ar"/>
              </w:rPr>
              <w:t>/</w:t>
            </w:r>
          </w:p>
        </w:tc>
        <w:tc>
          <w:tcPr>
            <w:tcW w:w="2316" w:type="dxa"/>
            <w:vAlign w:val="center"/>
          </w:tcPr>
          <w:p w14:paraId="12551B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29D61AD5">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7B8FF702">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2020.12.16</w:t>
            </w:r>
          </w:p>
        </w:tc>
        <w:tc>
          <w:tcPr>
            <w:tcW w:w="1712" w:type="dxa"/>
            <w:vAlign w:val="center"/>
          </w:tcPr>
          <w:p w14:paraId="6D78E64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2404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48E59AE1">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6</w:t>
            </w:r>
          </w:p>
        </w:tc>
        <w:tc>
          <w:tcPr>
            <w:tcW w:w="1637" w:type="dxa"/>
            <w:vAlign w:val="center"/>
          </w:tcPr>
          <w:p w14:paraId="5881AA39">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自动扶梯</w:t>
            </w:r>
          </w:p>
        </w:tc>
        <w:tc>
          <w:tcPr>
            <w:tcW w:w="1032" w:type="dxa"/>
            <w:vAlign w:val="center"/>
          </w:tcPr>
          <w:p w14:paraId="39EEE896">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KS-SBF-II</w:t>
            </w:r>
          </w:p>
        </w:tc>
        <w:tc>
          <w:tcPr>
            <w:tcW w:w="1373" w:type="dxa"/>
            <w:vAlign w:val="center"/>
          </w:tcPr>
          <w:p w14:paraId="368622A7">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w:t>
            </w:r>
          </w:p>
        </w:tc>
        <w:tc>
          <w:tcPr>
            <w:tcW w:w="2316" w:type="dxa"/>
            <w:vAlign w:val="center"/>
          </w:tcPr>
          <w:p w14:paraId="25336B4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2DAA3DB5">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7F281214">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2020.12.15</w:t>
            </w:r>
          </w:p>
        </w:tc>
        <w:tc>
          <w:tcPr>
            <w:tcW w:w="1712" w:type="dxa"/>
            <w:vAlign w:val="center"/>
          </w:tcPr>
          <w:p w14:paraId="7F61D9F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19E5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82" w:type="dxa"/>
            <w:vAlign w:val="center"/>
          </w:tcPr>
          <w:p w14:paraId="169DC1D3">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7</w:t>
            </w:r>
          </w:p>
        </w:tc>
        <w:tc>
          <w:tcPr>
            <w:tcW w:w="1637" w:type="dxa"/>
            <w:vAlign w:val="center"/>
          </w:tcPr>
          <w:p w14:paraId="6ACC6087">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自动扶梯</w:t>
            </w:r>
          </w:p>
        </w:tc>
        <w:tc>
          <w:tcPr>
            <w:tcW w:w="1032" w:type="dxa"/>
            <w:vAlign w:val="center"/>
          </w:tcPr>
          <w:p w14:paraId="613CE5A8">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KS-SBF-IZ</w:t>
            </w:r>
          </w:p>
        </w:tc>
        <w:tc>
          <w:tcPr>
            <w:tcW w:w="1373" w:type="dxa"/>
            <w:vAlign w:val="center"/>
          </w:tcPr>
          <w:p w14:paraId="1D303999">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w:t>
            </w:r>
          </w:p>
        </w:tc>
        <w:tc>
          <w:tcPr>
            <w:tcW w:w="2316" w:type="dxa"/>
            <w:vAlign w:val="center"/>
          </w:tcPr>
          <w:p w14:paraId="1212ACF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泸州市古蔺县东新街马厂头1号</w:t>
            </w:r>
          </w:p>
          <w:p w14:paraId="5609C8A2">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（古蔺县中医医院门诊综合楼）</w:t>
            </w:r>
          </w:p>
        </w:tc>
        <w:tc>
          <w:tcPr>
            <w:tcW w:w="2009" w:type="dxa"/>
            <w:vAlign w:val="center"/>
          </w:tcPr>
          <w:p w14:paraId="61EBD6B9">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2020.12.15</w:t>
            </w:r>
          </w:p>
        </w:tc>
        <w:tc>
          <w:tcPr>
            <w:tcW w:w="1712" w:type="dxa"/>
            <w:vAlign w:val="center"/>
          </w:tcPr>
          <w:p w14:paraId="4FA346D6">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6695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82" w:type="dxa"/>
            <w:vAlign w:val="center"/>
          </w:tcPr>
          <w:p w14:paraId="79BB6EB8">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8</w:t>
            </w:r>
          </w:p>
        </w:tc>
        <w:tc>
          <w:tcPr>
            <w:tcW w:w="1637" w:type="dxa"/>
            <w:vAlign w:val="center"/>
          </w:tcPr>
          <w:p w14:paraId="1B495848">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曳引驱动乘客电梯</w:t>
            </w:r>
          </w:p>
        </w:tc>
        <w:tc>
          <w:tcPr>
            <w:tcW w:w="1032" w:type="dxa"/>
            <w:vAlign w:val="center"/>
          </w:tcPr>
          <w:p w14:paraId="324BCD18">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TYJ1600/1.0VVVF</w:t>
            </w:r>
          </w:p>
        </w:tc>
        <w:tc>
          <w:tcPr>
            <w:tcW w:w="1373" w:type="dxa"/>
            <w:vAlign w:val="center"/>
          </w:tcPr>
          <w:p w14:paraId="712E8AAC">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6层6站6门</w:t>
            </w:r>
          </w:p>
        </w:tc>
        <w:tc>
          <w:tcPr>
            <w:tcW w:w="2316" w:type="dxa"/>
            <w:vAlign w:val="center"/>
          </w:tcPr>
          <w:p w14:paraId="7456E171">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古蔺县金兰街道落鸿路56号</w:t>
            </w:r>
          </w:p>
        </w:tc>
        <w:tc>
          <w:tcPr>
            <w:tcW w:w="2009" w:type="dxa"/>
            <w:vAlign w:val="center"/>
          </w:tcPr>
          <w:p w14:paraId="57EE393F">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2004.04.05</w:t>
            </w:r>
          </w:p>
        </w:tc>
        <w:tc>
          <w:tcPr>
            <w:tcW w:w="1712" w:type="dxa"/>
            <w:vAlign w:val="center"/>
          </w:tcPr>
          <w:p w14:paraId="4EB458DD">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r w14:paraId="4E35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82" w:type="dxa"/>
            <w:vAlign w:val="center"/>
          </w:tcPr>
          <w:p w14:paraId="65D84BC1">
            <w:pPr>
              <w:keepNext w:val="0"/>
              <w:keepLines w:val="0"/>
              <w:widowControl/>
              <w:suppressLineNumbers w:val="0"/>
              <w:jc w:val="left"/>
              <w:textAlignment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9</w:t>
            </w:r>
          </w:p>
        </w:tc>
        <w:tc>
          <w:tcPr>
            <w:tcW w:w="1637" w:type="dxa"/>
            <w:vAlign w:val="center"/>
          </w:tcPr>
          <w:p w14:paraId="209930F1">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曳引驱动乘客电梯(无机房）</w:t>
            </w:r>
          </w:p>
        </w:tc>
        <w:tc>
          <w:tcPr>
            <w:tcW w:w="1032" w:type="dxa"/>
            <w:vAlign w:val="center"/>
          </w:tcPr>
          <w:p w14:paraId="1C1B289C">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STVF</w:t>
            </w:r>
          </w:p>
        </w:tc>
        <w:tc>
          <w:tcPr>
            <w:tcW w:w="1373" w:type="dxa"/>
            <w:vAlign w:val="center"/>
          </w:tcPr>
          <w:p w14:paraId="73AF8A12">
            <w:pPr>
              <w:keepNext w:val="0"/>
              <w:keepLines w:val="0"/>
              <w:widowControl/>
              <w:suppressLineNumbers w:val="0"/>
              <w:jc w:val="left"/>
              <w:textAlignment w:val="center"/>
              <w:rPr>
                <w:rFonts w:hint="eastAsia" w:ascii="宋体" w:hAnsi="宋体" w:eastAsia="宋体" w:cs="宋体"/>
                <w:sz w:val="30"/>
                <w:szCs w:val="30"/>
                <w:lang w:val="en-US" w:eastAsia="zh-CN"/>
              </w:rPr>
            </w:pPr>
            <w:r>
              <w:rPr>
                <w:rFonts w:hint="eastAsia" w:ascii="宋体" w:hAnsi="宋体" w:eastAsia="宋体" w:cs="宋体"/>
                <w:b/>
                <w:bCs/>
                <w:i w:val="0"/>
                <w:iCs w:val="0"/>
                <w:color w:val="000000"/>
                <w:kern w:val="0"/>
                <w:sz w:val="22"/>
                <w:szCs w:val="22"/>
                <w:u w:val="none"/>
                <w:lang w:val="en-US" w:eastAsia="zh-CN" w:bidi="ar"/>
              </w:rPr>
              <w:t>7层7站7门</w:t>
            </w:r>
          </w:p>
        </w:tc>
        <w:tc>
          <w:tcPr>
            <w:tcW w:w="2316" w:type="dxa"/>
            <w:vAlign w:val="center"/>
          </w:tcPr>
          <w:p w14:paraId="5CFC23C0">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古蔺县金兰街道落鸿路56号</w:t>
            </w:r>
          </w:p>
        </w:tc>
        <w:tc>
          <w:tcPr>
            <w:tcW w:w="2009" w:type="dxa"/>
            <w:vAlign w:val="center"/>
          </w:tcPr>
          <w:p w14:paraId="1EB0339B">
            <w:pPr>
              <w:keepNext w:val="0"/>
              <w:keepLines w:val="0"/>
              <w:widowControl/>
              <w:suppressLineNumbers w:val="0"/>
              <w:jc w:val="left"/>
              <w:textAlignment w:val="center"/>
              <w:rPr>
                <w:rFonts w:hint="eastAsia" w:ascii="宋体" w:hAnsi="宋体" w:eastAsia="宋体" w:cs="宋体"/>
                <w:b w:val="0"/>
                <w:bCs w:val="0"/>
                <w:kern w:val="2"/>
                <w:sz w:val="30"/>
                <w:szCs w:val="30"/>
                <w:lang w:val="en-US" w:eastAsia="zh-CN" w:bidi="ar-SA"/>
              </w:rPr>
            </w:pPr>
            <w:r>
              <w:rPr>
                <w:rFonts w:hint="eastAsia" w:ascii="宋体" w:hAnsi="宋体" w:eastAsia="宋体" w:cs="宋体"/>
                <w:b/>
                <w:bCs/>
                <w:i w:val="0"/>
                <w:iCs w:val="0"/>
                <w:color w:val="000000"/>
                <w:kern w:val="0"/>
                <w:sz w:val="22"/>
                <w:szCs w:val="22"/>
                <w:u w:val="none"/>
                <w:lang w:val="en-US" w:eastAsia="zh-CN" w:bidi="ar"/>
              </w:rPr>
              <w:t>2019.08</w:t>
            </w:r>
          </w:p>
        </w:tc>
        <w:tc>
          <w:tcPr>
            <w:tcW w:w="1712" w:type="dxa"/>
            <w:vAlign w:val="center"/>
          </w:tcPr>
          <w:p w14:paraId="3791B5F9">
            <w:pPr>
              <w:keepNext w:val="0"/>
              <w:keepLines w:val="0"/>
              <w:widowControl/>
              <w:suppressLineNumbers w:val="0"/>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年检1次及以上</w:t>
            </w:r>
          </w:p>
        </w:tc>
      </w:tr>
    </w:tbl>
    <w:p w14:paraId="1681AA6B">
      <w:pPr>
        <w:pStyle w:val="8"/>
        <w:rPr>
          <w:rFonts w:hint="eastAsia"/>
          <w:lang w:val="en-US" w:eastAsia="zh-CN"/>
        </w:rPr>
      </w:pPr>
    </w:p>
    <w:p w14:paraId="0FD24AE7">
      <w:pPr>
        <w:spacing w:line="450" w:lineRule="exact"/>
        <w:rPr>
          <w:rFonts w:hint="eastAsia" w:ascii="宋体" w:hAnsi="宋体" w:eastAsia="宋体" w:cs="Times New Roman"/>
          <w:bCs/>
          <w:color w:val="000000"/>
          <w:kern w:val="0"/>
          <w:sz w:val="24"/>
          <w:szCs w:val="24"/>
          <w:lang w:val="en-US" w:eastAsia="zh-CN"/>
        </w:rPr>
      </w:pPr>
      <w:r>
        <w:rPr>
          <w:rFonts w:hint="eastAsia" w:ascii="宋体" w:hAnsi="Times New Roman" w:eastAsia="宋体" w:cstheme="minorBidi"/>
          <w:kern w:val="0"/>
          <w:sz w:val="28"/>
          <w:szCs w:val="24"/>
          <w:lang w:val="en-US" w:eastAsia="zh-CN" w:bidi="ar-SA"/>
        </w:rPr>
        <w:t>1</w:t>
      </w:r>
      <w:r>
        <w:rPr>
          <w:rFonts w:hint="eastAsia" w:ascii="宋体" w:hAnsi="宋体" w:eastAsia="宋体" w:cs="Times New Roman"/>
          <w:bCs/>
          <w:color w:val="000000"/>
          <w:kern w:val="0"/>
          <w:sz w:val="24"/>
          <w:szCs w:val="24"/>
          <w:lang w:val="en-US" w:eastAsia="zh-CN"/>
        </w:rPr>
        <w:t>.按照《电梯维护保养规则》(TSGT5002-2017)完成半月、季度、半年、年保养项目服务。</w:t>
      </w:r>
    </w:p>
    <w:p w14:paraId="4D01F002">
      <w:pPr>
        <w:spacing w:line="450" w:lineRule="exact"/>
        <w:rPr>
          <w:rFonts w:hint="default" w:ascii="宋体" w:hAnsi="宋体" w:eastAsia="宋体" w:cs="Times New Roman"/>
          <w:bCs/>
          <w:color w:val="000000"/>
          <w:kern w:val="0"/>
          <w:sz w:val="24"/>
          <w:szCs w:val="24"/>
          <w:lang w:val="en-US" w:eastAsia="zh-CN"/>
        </w:rPr>
      </w:pPr>
      <w:r>
        <w:rPr>
          <w:rFonts w:hint="default" w:ascii="宋体" w:hAnsi="宋体" w:eastAsia="宋体" w:cs="Times New Roman"/>
          <w:bCs/>
          <w:color w:val="000000"/>
          <w:kern w:val="0"/>
          <w:sz w:val="24"/>
          <w:szCs w:val="24"/>
          <w:lang w:val="en-US" w:eastAsia="zh-CN"/>
        </w:rPr>
        <w:t>2.</w:t>
      </w:r>
      <w:r>
        <w:rPr>
          <w:rFonts w:hint="eastAsia" w:ascii="宋体" w:hAnsi="宋体" w:eastAsia="宋体" w:cs="Times New Roman"/>
          <w:bCs/>
          <w:color w:val="000000"/>
          <w:kern w:val="0"/>
          <w:sz w:val="24"/>
          <w:szCs w:val="24"/>
          <w:lang w:val="en-US" w:eastAsia="zh-CN"/>
        </w:rPr>
        <w:t>9台电梯买保险。</w:t>
      </w:r>
    </w:p>
    <w:p w14:paraId="71BDA885">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3.负责电梯的年检联系工作以及年检费。</w:t>
      </w:r>
    </w:p>
    <w:p w14:paraId="3C81A72B">
      <w:pPr>
        <w:spacing w:line="450" w:lineRule="exact"/>
        <w:rPr>
          <w:rFonts w:hint="default"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4.供应商在维修工作期间必须遵从招标人检修管理制度，按照规定开展工作，设备维修工作必须是在保障安全的前提下，保质保量地完成。基本要求如下：</w:t>
      </w:r>
    </w:p>
    <w:p w14:paraId="170BA107">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4.1必须安排维修人员全面落实设备维修及维修后的一次检测工作；</w:t>
      </w:r>
    </w:p>
    <w:p w14:paraId="75D2B528">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4.2维修工作工作中对发现的缺陷应及时告知班组，并处理；紧急缺陷应在当日内处理，一般缺陷在3日内处理；除无备品原因外，缺陷必须在3日内处理完毕。</w:t>
      </w:r>
    </w:p>
    <w:p w14:paraId="2667D964">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4.3在维修过程中，发现事故隐患及时告知医学装备科管理人员；发现严重事故隐患，立即停运电梯，做好防止发生伤人事故的措施。及时提出维修方案，在经医学装备科审核后对电梯进行维修。</w:t>
      </w:r>
    </w:p>
    <w:p w14:paraId="24D45BD9">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4.4维修人员应服从安排。维修项目及其质量要求达到根据国家对电梯设备的要求和电梯运行标准，保证电梯设备的安全性能。</w:t>
      </w:r>
    </w:p>
    <w:p w14:paraId="12636459">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4.5供应商至少安排2个及以上电梯维保人员参加维保并保证维修人员的安全，出现一切事故由供应商负责。</w:t>
      </w:r>
    </w:p>
    <w:p w14:paraId="71313BCB">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5.应急处理：当接到采购人应急报修通知后，半个小时内应赶到现场进行处理，采取维修措施修复，未修复完善的，应在48小时内检修解除故障。在确实没有配件的情况下应及时向采购人说明原因，并采取有效的应急措施，防止出现安全事故。</w:t>
      </w:r>
    </w:p>
    <w:p w14:paraId="21E89F34">
      <w:pPr>
        <w:spacing w:line="450" w:lineRule="exact"/>
        <w:rPr>
          <w:rFonts w:hint="eastAsia" w:ascii="宋体" w:hAnsi="宋体" w:eastAsia="宋体" w:cs="Times New Roman"/>
          <w:bCs/>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四、维修时限：一般故障在2小时内恢复正常，特殊故障（如：零配件损坏）在48小时内恢复正常。</w:t>
      </w:r>
    </w:p>
    <w:p w14:paraId="1D1A9500">
      <w:pPr>
        <w:spacing w:line="450" w:lineRule="exact"/>
        <w:rPr>
          <w:rFonts w:hint="default" w:ascii="宋体" w:hAnsi="宋体" w:eastAsia="宋体" w:cs="Times New Roman"/>
          <w:b/>
          <w:bCs w:val="0"/>
          <w:color w:val="000000"/>
          <w:kern w:val="0"/>
          <w:sz w:val="24"/>
          <w:szCs w:val="24"/>
          <w:lang w:val="en-US" w:eastAsia="zh-CN"/>
        </w:rPr>
      </w:pPr>
      <w:r>
        <w:rPr>
          <w:rFonts w:hint="eastAsia" w:ascii="宋体" w:hAnsi="宋体" w:eastAsia="宋体" w:cs="Times New Roman"/>
          <w:bCs/>
          <w:color w:val="000000"/>
          <w:kern w:val="0"/>
          <w:sz w:val="24"/>
          <w:szCs w:val="24"/>
          <w:lang w:val="en-US" w:eastAsia="zh-CN"/>
        </w:rPr>
        <w:t>6.本项目费用包含人工技术维护费用，如涉及零配件的更换，成交供应商须负责更换，其中更换的零配件市场价值≤人民币400元的，零配件费用由成交供应商负责，零配件市场价值＞人民币400元的，零配件费用由采购人支付，成交供应商仅负责更换。</w:t>
      </w:r>
      <w:r>
        <w:rPr>
          <w:rFonts w:hint="eastAsia" w:ascii="宋体" w:hAnsi="宋体" w:eastAsia="宋体" w:cs="Times New Roman"/>
          <w:b/>
          <w:bCs w:val="0"/>
          <w:color w:val="000000"/>
          <w:kern w:val="0"/>
          <w:sz w:val="24"/>
          <w:szCs w:val="24"/>
          <w:lang w:val="en-US" w:eastAsia="zh-CN"/>
        </w:rPr>
        <w:t>投标的时候需要提供电梯零配件市场价值≤人民币400元和＞人民币400元价格明细表。</w:t>
      </w:r>
    </w:p>
    <w:p w14:paraId="6791418D">
      <w:pPr>
        <w:spacing w:line="360" w:lineRule="auto"/>
        <w:rPr>
          <w:rFonts w:hint="eastAsia" w:ascii="宋体" w:hAnsi="Times New Roman" w:eastAsia="宋体" w:cstheme="minorBidi"/>
          <w:b/>
          <w:bCs/>
          <w:kern w:val="0"/>
          <w:sz w:val="28"/>
          <w:szCs w:val="24"/>
          <w:lang w:val="en-US" w:eastAsia="zh-CN" w:bidi="ar-SA"/>
        </w:rPr>
      </w:pPr>
      <w:r>
        <w:rPr>
          <w:rFonts w:hint="eastAsia" w:ascii="宋体" w:hAnsi="Times New Roman" w:eastAsia="宋体" w:cstheme="minorBidi"/>
          <w:b/>
          <w:bCs/>
          <w:kern w:val="0"/>
          <w:sz w:val="28"/>
          <w:szCs w:val="24"/>
          <w:lang w:val="en-US" w:eastAsia="zh-CN" w:bidi="ar-SA"/>
        </w:rPr>
        <w:t>7.工作要求</w:t>
      </w:r>
    </w:p>
    <w:p w14:paraId="394E2151">
      <w:pPr>
        <w:snapToGrid w:val="0"/>
        <w:spacing w:line="360" w:lineRule="auto"/>
        <w:rPr>
          <w:rFonts w:ascii="宋体" w:hAnsi="宋体" w:eastAsia="宋体" w:cs="Times New Roman"/>
          <w:bCs/>
          <w:color w:val="000000"/>
          <w:kern w:val="0"/>
          <w:sz w:val="24"/>
          <w:szCs w:val="20"/>
        </w:rPr>
      </w:pPr>
      <w:r>
        <w:rPr>
          <w:rFonts w:hint="eastAsia" w:ascii="宋体" w:hAnsi="宋体" w:eastAsia="宋体" w:cs="Times New Roman"/>
          <w:b w:val="0"/>
          <w:bCs/>
          <w:color w:val="000000"/>
          <w:kern w:val="0"/>
          <w:sz w:val="24"/>
          <w:szCs w:val="20"/>
          <w:lang w:val="en-US" w:eastAsia="zh-CN"/>
        </w:rPr>
        <w:t>7.1.</w:t>
      </w:r>
      <w:r>
        <w:rPr>
          <w:rFonts w:hint="eastAsia" w:ascii="宋体" w:hAnsi="宋体" w:eastAsia="宋体" w:cs="Times New Roman"/>
          <w:bCs/>
          <w:color w:val="000000"/>
          <w:kern w:val="0"/>
          <w:sz w:val="24"/>
          <w:szCs w:val="20"/>
        </w:rPr>
        <w:t>每年检修维护工作完成后，</w:t>
      </w:r>
      <w:r>
        <w:rPr>
          <w:rFonts w:hint="eastAsia" w:ascii="宋体" w:hAnsi="宋体" w:eastAsia="宋体" w:cs="Times New Roman"/>
          <w:bCs/>
          <w:color w:val="000000"/>
          <w:kern w:val="0"/>
          <w:sz w:val="24"/>
          <w:szCs w:val="20"/>
          <w:lang w:val="en-US" w:eastAsia="zh-CN"/>
        </w:rPr>
        <w:t>向</w:t>
      </w:r>
      <w:r>
        <w:rPr>
          <w:rFonts w:hint="eastAsia" w:ascii="宋体" w:hAnsi="宋体" w:eastAsia="宋体" w:cs="Times New Roman"/>
          <w:bCs/>
          <w:color w:val="000000"/>
          <w:kern w:val="0"/>
          <w:sz w:val="24"/>
          <w:szCs w:val="20"/>
        </w:rPr>
        <w:t>招标人提供年度检修维护报告及巡检、定期维护记录，并经双方签字后存档。</w:t>
      </w:r>
    </w:p>
    <w:p w14:paraId="59C47DD6">
      <w:pPr>
        <w:snapToGrid w:val="0"/>
        <w:spacing w:line="360" w:lineRule="auto"/>
        <w:rPr>
          <w:rFonts w:ascii="宋体" w:hAnsi="宋体" w:eastAsia="宋体" w:cs="Times New Roman"/>
          <w:bCs/>
          <w:color w:val="000000"/>
          <w:kern w:val="0"/>
          <w:sz w:val="24"/>
          <w:szCs w:val="20"/>
        </w:rPr>
      </w:pPr>
      <w:r>
        <w:rPr>
          <w:rFonts w:hint="eastAsia" w:ascii="宋体" w:hAnsi="宋体" w:eastAsia="宋体" w:cs="Times New Roman"/>
          <w:b w:val="0"/>
          <w:bCs/>
          <w:color w:val="000000"/>
          <w:kern w:val="0"/>
          <w:sz w:val="24"/>
          <w:szCs w:val="20"/>
          <w:lang w:val="en-US" w:eastAsia="zh-CN"/>
        </w:rPr>
        <w:t>7.2.</w:t>
      </w:r>
      <w:r>
        <w:rPr>
          <w:rFonts w:hint="eastAsia" w:ascii="宋体" w:hAnsi="宋体" w:eastAsia="宋体" w:cs="Times New Roman"/>
          <w:bCs/>
          <w:color w:val="000000"/>
          <w:kern w:val="0"/>
          <w:sz w:val="24"/>
          <w:szCs w:val="20"/>
        </w:rPr>
        <w:t>供应商提供电梯维护所需的备品、材料。</w:t>
      </w:r>
    </w:p>
    <w:p w14:paraId="2D9598E7">
      <w:pPr>
        <w:snapToGrid w:val="0"/>
        <w:spacing w:line="440" w:lineRule="exact"/>
        <w:rPr>
          <w:rFonts w:ascii="宋体" w:hAnsi="宋体" w:eastAsia="宋体" w:cs="Times New Roman"/>
          <w:b/>
          <w:bCs w:val="0"/>
          <w:color w:val="000000"/>
          <w:kern w:val="0"/>
          <w:sz w:val="24"/>
          <w:szCs w:val="20"/>
        </w:rPr>
      </w:pPr>
      <w:r>
        <w:rPr>
          <w:rFonts w:hint="eastAsia" w:ascii="宋体" w:hAnsi="宋体" w:eastAsia="宋体" w:cs="Times New Roman"/>
          <w:b w:val="0"/>
          <w:bCs/>
          <w:color w:val="000000"/>
          <w:kern w:val="0"/>
          <w:sz w:val="24"/>
          <w:szCs w:val="20"/>
          <w:lang w:val="en-US" w:eastAsia="zh-CN"/>
        </w:rPr>
        <w:t>7.3.</w:t>
      </w:r>
      <w:r>
        <w:rPr>
          <w:rFonts w:hint="eastAsia" w:ascii="宋体" w:hAnsi="宋体" w:eastAsia="宋体" w:cs="Times New Roman"/>
          <w:b w:val="0"/>
          <w:bCs/>
          <w:color w:val="000000"/>
          <w:kern w:val="0"/>
          <w:sz w:val="24"/>
          <w:szCs w:val="20"/>
        </w:rPr>
        <w:t>进行设备维护时，严格遵守《电力安全工作规程》相关规定，严格履行安全交底确认手续和工作监护职责。</w:t>
      </w:r>
    </w:p>
    <w:p w14:paraId="38519412">
      <w:pPr>
        <w:snapToGrid w:val="0"/>
        <w:spacing w:line="440" w:lineRule="exact"/>
        <w:rPr>
          <w:rFonts w:ascii="宋体" w:hAnsi="宋体" w:eastAsia="宋体" w:cs="Times New Roman"/>
          <w:b w:val="0"/>
          <w:bCs/>
          <w:color w:val="000000"/>
          <w:kern w:val="0"/>
          <w:sz w:val="24"/>
          <w:szCs w:val="20"/>
        </w:rPr>
      </w:pPr>
      <w:r>
        <w:rPr>
          <w:rFonts w:hint="eastAsia" w:ascii="宋体" w:hAnsi="宋体" w:eastAsia="宋体" w:cs="Times New Roman"/>
          <w:b w:val="0"/>
          <w:bCs/>
          <w:color w:val="000000"/>
          <w:kern w:val="0"/>
          <w:sz w:val="24"/>
          <w:szCs w:val="20"/>
          <w:lang w:val="en-US" w:eastAsia="zh-CN"/>
        </w:rPr>
        <w:t>7.</w:t>
      </w:r>
      <w:r>
        <w:rPr>
          <w:rFonts w:hint="default" w:ascii="宋体" w:hAnsi="宋体" w:eastAsia="宋体" w:cs="Times New Roman"/>
          <w:b w:val="0"/>
          <w:bCs/>
          <w:color w:val="000000"/>
          <w:kern w:val="0"/>
          <w:sz w:val="24"/>
          <w:szCs w:val="20"/>
          <w:lang w:eastAsia="zh-CN"/>
        </w:rPr>
        <w:t>4</w:t>
      </w:r>
      <w:r>
        <w:rPr>
          <w:rFonts w:hint="eastAsia" w:ascii="宋体" w:hAnsi="宋体" w:eastAsia="宋体" w:cs="Times New Roman"/>
          <w:b w:val="0"/>
          <w:bCs/>
          <w:color w:val="000000"/>
          <w:kern w:val="0"/>
          <w:sz w:val="24"/>
          <w:szCs w:val="20"/>
        </w:rPr>
        <w:t>供应商负责完成招标人提出的与设备管理相关的其他工作。</w:t>
      </w:r>
    </w:p>
    <w:p w14:paraId="0D32F019">
      <w:pPr>
        <w:spacing w:line="360" w:lineRule="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7.9</w:t>
      </w:r>
      <w:r>
        <w:rPr>
          <w:rFonts w:hint="eastAsia" w:ascii="宋体" w:hAnsi="宋体" w:eastAsia="宋体" w:cs="Times New Roman"/>
          <w:b/>
          <w:bCs w:val="0"/>
          <w:color w:val="000000"/>
          <w:kern w:val="0"/>
          <w:sz w:val="24"/>
          <w:szCs w:val="24"/>
        </w:rPr>
        <w:t>质量保证、安全措施：针对本项目的管理体系、技术措施、控制手段、安全措施合理性与可行性</w:t>
      </w:r>
      <w:r>
        <w:rPr>
          <w:rFonts w:hint="eastAsia" w:ascii="宋体" w:hAnsi="宋体" w:eastAsia="宋体" w:cs="Times New Roman"/>
          <w:b/>
          <w:bCs w:val="0"/>
          <w:color w:val="000000"/>
          <w:kern w:val="0"/>
          <w:sz w:val="24"/>
          <w:szCs w:val="24"/>
          <w:lang w:eastAsia="zh-CN"/>
        </w:rPr>
        <w:t>。</w:t>
      </w:r>
    </w:p>
    <w:p w14:paraId="426AFA3E">
      <w:pPr>
        <w:keepNext/>
        <w:keepLines/>
        <w:tabs>
          <w:tab w:val="left" w:pos="0"/>
        </w:tabs>
        <w:snapToGrid w:val="0"/>
        <w:spacing w:line="450" w:lineRule="exact"/>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7.9</w:t>
      </w:r>
      <w:r>
        <w:rPr>
          <w:rFonts w:ascii="宋体" w:hAnsi="宋体" w:eastAsia="宋体" w:cs="Times New Roman"/>
          <w:b/>
          <w:bCs w:val="0"/>
          <w:color w:val="000000"/>
          <w:kern w:val="0"/>
          <w:sz w:val="24"/>
          <w:szCs w:val="24"/>
        </w:rPr>
        <w:t>.1</w:t>
      </w:r>
      <w:r>
        <w:rPr>
          <w:rFonts w:hint="eastAsia" w:ascii="宋体" w:hAnsi="宋体" w:eastAsia="宋体" w:cs="Times New Roman"/>
          <w:b/>
          <w:bCs w:val="0"/>
          <w:color w:val="000000"/>
          <w:kern w:val="0"/>
          <w:sz w:val="24"/>
          <w:szCs w:val="24"/>
        </w:rPr>
        <w:t>安全文明生产管理规定</w:t>
      </w:r>
      <w:r>
        <w:rPr>
          <w:rFonts w:hint="eastAsia" w:ascii="宋体" w:hAnsi="宋体" w:eastAsia="宋体" w:cs="Times New Roman"/>
          <w:b/>
          <w:bCs w:val="0"/>
          <w:color w:val="000000"/>
          <w:kern w:val="0"/>
          <w:sz w:val="24"/>
          <w:szCs w:val="24"/>
          <w:lang w:eastAsia="zh-CN"/>
        </w:rPr>
        <w:t>：</w:t>
      </w:r>
    </w:p>
    <w:p w14:paraId="6094DD28">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w:t>
      </w:r>
      <w:r>
        <w:rPr>
          <w:rFonts w:hint="eastAsia" w:ascii="宋体" w:hAnsi="宋体" w:eastAsia="宋体" w:cs="Times New Roman"/>
          <w:bCs/>
          <w:color w:val="000000"/>
          <w:kern w:val="0"/>
          <w:sz w:val="24"/>
          <w:szCs w:val="24"/>
        </w:rPr>
        <w:t>必须按文件的相关规定，履行其安全保护职责。防止人身及设备安全事故。</w:t>
      </w:r>
    </w:p>
    <w:p w14:paraId="0EB488DE">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.1.2</w:t>
      </w:r>
      <w:r>
        <w:rPr>
          <w:rFonts w:hint="eastAsia" w:ascii="宋体" w:hAnsi="宋体" w:eastAsia="宋体" w:cs="Times New Roman"/>
          <w:bCs/>
          <w:color w:val="000000"/>
          <w:kern w:val="0"/>
          <w:sz w:val="24"/>
          <w:szCs w:val="24"/>
        </w:rPr>
        <w:t>必须遵守国家颁布的有关安全规程。若供应商责任区内发生安全事故时，应按国家有关安全规程和招标人相关安全规定处理。</w:t>
      </w:r>
    </w:p>
    <w:p w14:paraId="6E02CC9A">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1.3</w:t>
      </w:r>
      <w:r>
        <w:rPr>
          <w:rFonts w:hint="eastAsia" w:ascii="宋体" w:hAnsi="宋体" w:eastAsia="宋体" w:cs="Times New Roman"/>
          <w:bCs/>
          <w:color w:val="000000"/>
          <w:kern w:val="0"/>
          <w:sz w:val="24"/>
          <w:szCs w:val="24"/>
        </w:rPr>
        <w:t>现场作业开始前，在检修区域应设置安全围栏或者警戒线，并挂警示牌和标志牌，与运行区域有效隔离。</w:t>
      </w:r>
    </w:p>
    <w:p w14:paraId="7963F55A">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1.4</w:t>
      </w:r>
      <w:r>
        <w:rPr>
          <w:rFonts w:hint="eastAsia" w:ascii="宋体" w:hAnsi="宋体" w:eastAsia="宋体" w:cs="Times New Roman"/>
          <w:bCs/>
          <w:color w:val="000000"/>
          <w:kern w:val="0"/>
          <w:sz w:val="24"/>
          <w:szCs w:val="24"/>
        </w:rPr>
        <w:t>施工人员进入生产现场必须正确佩戴带安全帽，统一着装，着装符合《电业安全工作规程》要求，特殊工种还必须穿戴专用防护工作服和面具，作业现场秩序井然。</w:t>
      </w:r>
    </w:p>
    <w:p w14:paraId="4A2BB779">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.1.5</w:t>
      </w:r>
      <w:r>
        <w:rPr>
          <w:rFonts w:hint="eastAsia" w:ascii="宋体" w:hAnsi="宋体" w:eastAsia="宋体" w:cs="Times New Roman"/>
          <w:bCs/>
          <w:color w:val="000000"/>
          <w:kern w:val="0"/>
          <w:sz w:val="24"/>
          <w:szCs w:val="24"/>
        </w:rPr>
        <w:t>作业现场做到“三不落地”（工器具与量具、设备零部件、油污不落地）、“三无”（无污迹、无漏水、无灰）、“三不乱”（电源线不乱拉、管路不乱放、杂物不乱丢），每天收工前清扫现场，做到工完料尽场地清。</w:t>
      </w:r>
    </w:p>
    <w:p w14:paraId="05525E8F">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.1.6</w:t>
      </w:r>
      <w:r>
        <w:rPr>
          <w:rFonts w:hint="eastAsia" w:ascii="宋体" w:hAnsi="宋体" w:eastAsia="宋体" w:cs="Times New Roman"/>
          <w:bCs/>
          <w:color w:val="000000"/>
          <w:kern w:val="0"/>
          <w:sz w:val="24"/>
          <w:szCs w:val="24"/>
        </w:rPr>
        <w:t>现场作业中要注意对检修设备、备品备件的保护。</w:t>
      </w:r>
    </w:p>
    <w:p w14:paraId="22514A42">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.1.7</w:t>
      </w:r>
      <w:r>
        <w:rPr>
          <w:rFonts w:hint="eastAsia" w:ascii="宋体" w:hAnsi="宋体" w:eastAsia="宋体" w:cs="Times New Roman"/>
          <w:bCs/>
          <w:color w:val="000000"/>
          <w:kern w:val="0"/>
          <w:sz w:val="24"/>
          <w:szCs w:val="24"/>
        </w:rPr>
        <w:t>现场作业中禁止在走廊和楼梯平台堆放物品。</w:t>
      </w:r>
    </w:p>
    <w:p w14:paraId="25DDBDB0">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.1.8</w:t>
      </w:r>
      <w:r>
        <w:rPr>
          <w:rFonts w:hint="eastAsia" w:ascii="宋体" w:hAnsi="宋体" w:eastAsia="宋体" w:cs="Times New Roman"/>
          <w:bCs/>
          <w:color w:val="000000"/>
          <w:kern w:val="0"/>
          <w:sz w:val="24"/>
          <w:szCs w:val="24"/>
        </w:rPr>
        <w:t>现场作业中要及时清理被检设备和生产现场，保持并维护检修区域和生产场所的清洁、文明状态。</w:t>
      </w:r>
    </w:p>
    <w:p w14:paraId="4BC83A3B">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.1.9</w:t>
      </w:r>
      <w:r>
        <w:rPr>
          <w:rFonts w:hint="eastAsia" w:ascii="宋体" w:hAnsi="宋体" w:eastAsia="宋体" w:cs="Times New Roman"/>
          <w:bCs/>
          <w:color w:val="000000"/>
          <w:kern w:val="0"/>
          <w:sz w:val="24"/>
          <w:szCs w:val="24"/>
        </w:rPr>
        <w:t>现场作业完成后，要求设备见本色，设备铭牌、标牌、编号、转动方向、介质流向标识齐全、清晰，无积灰、积垢、积油，无污迹，无漏泄点。</w:t>
      </w:r>
    </w:p>
    <w:p w14:paraId="6897D5B1">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.1.10</w:t>
      </w:r>
      <w:r>
        <w:rPr>
          <w:rFonts w:hint="eastAsia" w:ascii="宋体" w:hAnsi="宋体" w:eastAsia="宋体" w:cs="Times New Roman"/>
          <w:bCs/>
          <w:color w:val="000000"/>
          <w:kern w:val="0"/>
          <w:sz w:val="24"/>
          <w:szCs w:val="24"/>
        </w:rPr>
        <w:t>严格执行垃圾分类，特别要防止化学药品、废油、废电池等对环境造成危害的物品直接进入垃圾箱。</w:t>
      </w:r>
    </w:p>
    <w:p w14:paraId="6BAD809E">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.1.11</w:t>
      </w:r>
      <w:r>
        <w:rPr>
          <w:rFonts w:hint="eastAsia" w:ascii="宋体" w:hAnsi="宋体" w:eastAsia="宋体" w:cs="Times New Roman"/>
          <w:bCs/>
          <w:color w:val="000000"/>
          <w:kern w:val="0"/>
          <w:sz w:val="24"/>
          <w:szCs w:val="24"/>
        </w:rPr>
        <w:t>施工场所保持清洁，堆放垃圾和废物放到指定地点，不得在垃圾箱外堆放垃圾。</w:t>
      </w:r>
    </w:p>
    <w:p w14:paraId="7A87EEDA">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w:t>
      </w:r>
      <w:r>
        <w:rPr>
          <w:rFonts w:hint="eastAsia" w:ascii="宋体" w:hAnsi="宋体" w:eastAsia="宋体" w:cs="Times New Roman"/>
          <w:bCs/>
          <w:color w:val="000000"/>
          <w:kern w:val="0"/>
          <w:sz w:val="24"/>
          <w:szCs w:val="24"/>
          <w:lang w:val="en-US" w:eastAsia="zh-CN"/>
        </w:rPr>
        <w:t>1</w:t>
      </w:r>
      <w:r>
        <w:rPr>
          <w:rFonts w:hint="default" w:ascii="宋体" w:hAnsi="宋体" w:eastAsia="宋体" w:cs="Times New Roman"/>
          <w:bCs/>
          <w:color w:val="000000"/>
          <w:kern w:val="0"/>
          <w:sz w:val="24"/>
          <w:szCs w:val="24"/>
          <w:lang w:eastAsia="zh-CN"/>
        </w:rPr>
        <w:t>2</w:t>
      </w:r>
      <w:r>
        <w:rPr>
          <w:rFonts w:hint="eastAsia" w:ascii="宋体" w:hAnsi="宋体" w:eastAsia="宋体" w:cs="Times New Roman"/>
          <w:bCs/>
          <w:color w:val="000000"/>
          <w:kern w:val="0"/>
          <w:sz w:val="24"/>
          <w:szCs w:val="24"/>
        </w:rPr>
        <w:t>现场作业结束后的棉纱、保温材料等易燃易爆废弃物要合理处置。在现场作业中要随时预防发生严重污染环境的事故。</w:t>
      </w:r>
    </w:p>
    <w:p w14:paraId="1CC23496">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.1.13</w:t>
      </w:r>
      <w:r>
        <w:rPr>
          <w:rFonts w:hint="eastAsia" w:ascii="宋体" w:hAnsi="宋体" w:eastAsia="宋体" w:cs="Times New Roman"/>
          <w:bCs/>
          <w:color w:val="000000"/>
          <w:kern w:val="0"/>
          <w:sz w:val="24"/>
          <w:szCs w:val="24"/>
        </w:rPr>
        <w:t>生产场所地面、平台、楼梯、扶手、墙壁整洁、通道畅通、栏杆完好、沟道盖板完好，无垃圾杂物，无积水、无积灰积垢、无积油、无污迹。</w:t>
      </w:r>
    </w:p>
    <w:p w14:paraId="67A840BD">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.1.14</w:t>
      </w:r>
      <w:r>
        <w:rPr>
          <w:rFonts w:hint="eastAsia" w:ascii="宋体" w:hAnsi="宋体" w:eastAsia="宋体" w:cs="Times New Roman"/>
          <w:bCs/>
          <w:color w:val="000000"/>
          <w:kern w:val="0"/>
          <w:sz w:val="24"/>
          <w:szCs w:val="24"/>
        </w:rPr>
        <w:t>工作场所照明和事故照明符合规程要求，照明良好、安全可靠、整洁明亮。</w:t>
      </w:r>
    </w:p>
    <w:p w14:paraId="0973F7FE">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7.9</w:t>
      </w:r>
      <w:r>
        <w:rPr>
          <w:rFonts w:ascii="宋体" w:hAnsi="宋体" w:eastAsia="宋体" w:cs="Times New Roman"/>
          <w:bCs/>
          <w:color w:val="000000"/>
          <w:kern w:val="0"/>
          <w:sz w:val="24"/>
          <w:szCs w:val="24"/>
        </w:rPr>
        <w:t>.1.15</w:t>
      </w:r>
      <w:r>
        <w:rPr>
          <w:rFonts w:hint="eastAsia" w:ascii="宋体" w:hAnsi="宋体" w:eastAsia="宋体" w:cs="Times New Roman"/>
          <w:bCs/>
          <w:color w:val="000000"/>
          <w:kern w:val="0"/>
          <w:sz w:val="24"/>
          <w:szCs w:val="24"/>
        </w:rPr>
        <w:t>安全防护装置设施齐全，平台、楼梯、扶手、护板完整、可靠，安全标志齐全，消防器材、检修用具及其它工器具应按定置管理要求进行摆放，并保持完好清洁。</w:t>
      </w:r>
    </w:p>
    <w:p w14:paraId="3A177E5B">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8.</w:t>
      </w:r>
      <w:r>
        <w:rPr>
          <w:rFonts w:ascii="宋体" w:hAnsi="宋体" w:eastAsia="宋体" w:cs="Times New Roman"/>
          <w:bCs/>
          <w:color w:val="000000"/>
          <w:kern w:val="0"/>
          <w:sz w:val="24"/>
          <w:szCs w:val="24"/>
        </w:rPr>
        <w:t>1</w:t>
      </w:r>
      <w:r>
        <w:rPr>
          <w:rFonts w:hint="eastAsia" w:ascii="宋体" w:hAnsi="宋体" w:eastAsia="宋体" w:cs="Times New Roman"/>
          <w:bCs/>
          <w:color w:val="000000"/>
          <w:kern w:val="0"/>
          <w:sz w:val="24"/>
          <w:szCs w:val="24"/>
        </w:rPr>
        <w:t>应遵守招标人制定的环保、水保相关管理制度，接受招标人的监督性检查。</w:t>
      </w:r>
    </w:p>
    <w:p w14:paraId="35738127">
      <w:pPr>
        <w:keepNext/>
        <w:keepLines/>
        <w:tabs>
          <w:tab w:val="left" w:pos="0"/>
        </w:tabs>
        <w:snapToGrid w:val="0"/>
        <w:spacing w:line="450" w:lineRule="exact"/>
        <w:rPr>
          <w:rFonts w:ascii="宋体" w:hAnsi="宋体" w:eastAsia="宋体" w:cs="Times New Roman"/>
          <w:bCs/>
          <w:color w:val="000000"/>
          <w:kern w:val="0"/>
          <w:sz w:val="24"/>
          <w:szCs w:val="24"/>
        </w:rPr>
      </w:pPr>
      <w:r>
        <w:rPr>
          <w:rFonts w:hint="eastAsia" w:ascii="宋体" w:hAnsi="宋体" w:eastAsia="宋体" w:cs="Times New Roman"/>
          <w:b/>
          <w:bCs w:val="0"/>
          <w:color w:val="000000"/>
          <w:kern w:val="0"/>
          <w:sz w:val="24"/>
          <w:szCs w:val="24"/>
          <w:lang w:val="en-US" w:eastAsia="zh-CN"/>
        </w:rPr>
        <w:t>8.2</w:t>
      </w:r>
      <w:r>
        <w:rPr>
          <w:rFonts w:hint="eastAsia" w:ascii="宋体" w:hAnsi="宋体" w:eastAsia="宋体" w:cs="Times New Roman"/>
          <w:b/>
          <w:bCs w:val="0"/>
          <w:color w:val="000000"/>
          <w:kern w:val="0"/>
          <w:sz w:val="24"/>
          <w:szCs w:val="24"/>
        </w:rPr>
        <w:t>劳动保护</w:t>
      </w:r>
      <w:r>
        <w:rPr>
          <w:rFonts w:hint="eastAsia" w:ascii="宋体" w:hAnsi="宋体" w:eastAsia="宋体" w:cs="Times New Roman"/>
          <w:b/>
          <w:bCs w:val="0"/>
          <w:color w:val="000000"/>
          <w:kern w:val="0"/>
          <w:sz w:val="24"/>
          <w:szCs w:val="24"/>
          <w:lang w:eastAsia="zh-CN"/>
        </w:rPr>
        <w:t>：</w:t>
      </w:r>
      <w:r>
        <w:rPr>
          <w:rFonts w:hint="eastAsia" w:ascii="宋体" w:hAnsi="宋体" w:eastAsia="宋体" w:cs="Times New Roman"/>
          <w:bCs/>
          <w:color w:val="000000"/>
          <w:kern w:val="0"/>
          <w:sz w:val="24"/>
          <w:szCs w:val="24"/>
        </w:rPr>
        <w:t>应按照国家劳动保护法的规定，为现场施工的工作人员配置必需的劳动保护用品，如安全帽、雨衣、手套、口罩和安全带等，并确保其防护的有效性。劳动保护用品费用由供应商自理。</w:t>
      </w:r>
    </w:p>
    <w:p w14:paraId="63A42591">
      <w:pPr>
        <w:keepNext/>
        <w:keepLines/>
        <w:tabs>
          <w:tab w:val="left" w:pos="0"/>
        </w:tabs>
        <w:snapToGrid w:val="0"/>
        <w:spacing w:line="450" w:lineRule="exact"/>
        <w:rPr>
          <w:rFonts w:hint="eastAsia" w:ascii="宋体" w:hAnsi="宋体" w:eastAsia="宋体" w:cs="Times New Roman"/>
          <w:bCs/>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8.3</w:t>
      </w:r>
      <w:r>
        <w:rPr>
          <w:rFonts w:hint="eastAsia" w:ascii="宋体" w:hAnsi="宋体" w:eastAsia="宋体" w:cs="Times New Roman"/>
          <w:b/>
          <w:bCs w:val="0"/>
          <w:color w:val="000000"/>
          <w:kern w:val="0"/>
          <w:sz w:val="24"/>
          <w:szCs w:val="24"/>
        </w:rPr>
        <w:t>供应商自行解决的相关条件</w:t>
      </w:r>
      <w:r>
        <w:rPr>
          <w:rFonts w:hint="eastAsia" w:ascii="宋体" w:hAnsi="宋体" w:eastAsia="宋体" w:cs="Times New Roman"/>
          <w:b/>
          <w:bCs w:val="0"/>
          <w:color w:val="000000"/>
          <w:kern w:val="0"/>
          <w:sz w:val="24"/>
          <w:szCs w:val="24"/>
          <w:lang w:eastAsia="zh-CN"/>
        </w:rPr>
        <w:t>：</w:t>
      </w:r>
    </w:p>
    <w:p w14:paraId="44F97C11">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8.3.1</w:t>
      </w:r>
      <w:r>
        <w:rPr>
          <w:rFonts w:hint="eastAsia" w:ascii="宋体" w:hAnsi="宋体" w:eastAsia="宋体" w:cs="Times New Roman"/>
          <w:bCs/>
          <w:color w:val="000000"/>
          <w:kern w:val="0"/>
          <w:sz w:val="24"/>
          <w:szCs w:val="24"/>
        </w:rPr>
        <w:t>供应商的工器具和设备配置</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供应商应自行准备承担本合同项目服务工作所需的专用工器具和设备。如调试程序电脑、万用表、试电笔、扳手、管钳、起子、手锤、尖嘴钳、斜口钳等。</w:t>
      </w:r>
    </w:p>
    <w:p w14:paraId="47CDB788">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8.3.2</w:t>
      </w:r>
      <w:r>
        <w:rPr>
          <w:rFonts w:hint="eastAsia" w:ascii="宋体" w:hAnsi="宋体" w:eastAsia="宋体" w:cs="Times New Roman"/>
          <w:bCs/>
          <w:color w:val="000000"/>
          <w:kern w:val="0"/>
          <w:sz w:val="24"/>
          <w:szCs w:val="24"/>
        </w:rPr>
        <w:t>供应商应具备的交通、生活设备条件</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（1）供应商自行解决交通，费用自理</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（2）供应商工作所需橡胶手套、线</w:t>
      </w:r>
      <w:r>
        <w:rPr>
          <w:rFonts w:ascii="宋体" w:hAnsi="宋体" w:eastAsia="宋体" w:cs="Times New Roman"/>
          <w:bCs/>
          <w:color w:val="000000"/>
          <w:kern w:val="0"/>
          <w:sz w:val="24"/>
          <w:szCs w:val="24"/>
        </w:rPr>
        <w:t>/</w:t>
      </w:r>
      <w:r>
        <w:rPr>
          <w:rFonts w:hint="eastAsia" w:ascii="宋体" w:hAnsi="宋体" w:eastAsia="宋体" w:cs="Times New Roman"/>
          <w:bCs/>
          <w:color w:val="000000"/>
          <w:kern w:val="0"/>
          <w:sz w:val="24"/>
          <w:szCs w:val="24"/>
        </w:rPr>
        <w:t>帆布手套、口罩、护目镜、焊接专用防护设备等常用劳动保护用品自行配置。</w:t>
      </w:r>
    </w:p>
    <w:p w14:paraId="5E1FC857">
      <w:pPr>
        <w:keepNext/>
        <w:keepLines/>
        <w:tabs>
          <w:tab w:val="left" w:pos="0"/>
        </w:tabs>
        <w:snapToGrid w:val="0"/>
        <w:spacing w:line="450" w:lineRule="exact"/>
        <w:rPr>
          <w:rFonts w:ascii="宋体" w:hAnsi="宋体" w:eastAsia="宋体" w:cs="Times New Roman"/>
          <w:b/>
          <w:bCs w:val="0"/>
          <w:color w:val="000000"/>
          <w:kern w:val="0"/>
          <w:sz w:val="24"/>
          <w:szCs w:val="24"/>
        </w:rPr>
      </w:pPr>
      <w:r>
        <w:rPr>
          <w:rFonts w:hint="eastAsia" w:ascii="宋体" w:hAnsi="宋体" w:eastAsia="宋体" w:cs="Times New Roman"/>
          <w:b/>
          <w:bCs w:val="0"/>
          <w:color w:val="000000"/>
          <w:kern w:val="0"/>
          <w:sz w:val="24"/>
          <w:szCs w:val="24"/>
          <w:lang w:val="en-US" w:eastAsia="zh-CN"/>
        </w:rPr>
        <w:t>8.4</w:t>
      </w:r>
      <w:r>
        <w:rPr>
          <w:rFonts w:hint="eastAsia" w:ascii="宋体" w:hAnsi="宋体" w:eastAsia="宋体" w:cs="Times New Roman"/>
          <w:b/>
          <w:bCs w:val="0"/>
          <w:color w:val="000000"/>
          <w:kern w:val="0"/>
          <w:sz w:val="24"/>
          <w:szCs w:val="24"/>
        </w:rPr>
        <w:t>维保人员基本要求</w:t>
      </w:r>
    </w:p>
    <w:p w14:paraId="60BB3798">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（1）维保人员应遵循“安全第一、预防为主”的原则，认真学习和执行国家有关劳动安全、劳动保护的法律、政策和规定，严格按照本操作要求执行，确保维保中维保人员和电梯设备的安全。</w:t>
      </w:r>
    </w:p>
    <w:p w14:paraId="54DB532C">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（2）维保人员在持有《特种设备作业人员证》后，方可进行电梯维保作业。</w:t>
      </w:r>
    </w:p>
    <w:p w14:paraId="3998274C">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（3）维保人员在进行电梯维保作业前，应熟悉所维保的电（扶）梯的机械结构，工作原理和电气原理。</w:t>
      </w:r>
    </w:p>
    <w:p w14:paraId="6C2C0268">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（4）维保人员在工作前，应确认电梯安全保护功能处于正常的状态。</w:t>
      </w:r>
    </w:p>
    <w:p w14:paraId="5019148E">
      <w:pPr>
        <w:spacing w:line="450" w:lineRule="exac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（5）维保人员进行维保时应严格按照维保要求及方法进行逐项维保，并及时填写维保相关记录，经使用单位安全管理人员签字确认后，与使用单位分别存档。</w:t>
      </w:r>
    </w:p>
    <w:p w14:paraId="05218E7F">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（6）维保人员进行维保时应根据作业需要，穿戴必需的劳保用品。维保作业期间不得吸烟。</w:t>
      </w:r>
    </w:p>
    <w:p w14:paraId="42E0CF5D">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（7）中标维保商提供24小时的应急值班电话及维修服务的处理。</w:t>
      </w:r>
    </w:p>
    <w:p w14:paraId="729988AA">
      <w:pPr>
        <w:pageBreakBefore w:val="0"/>
        <w:widowControl w:val="0"/>
        <w:kinsoku/>
        <w:wordWrap/>
        <w:overflowPunct/>
        <w:topLinePunct w:val="0"/>
        <w:autoSpaceDE/>
        <w:autoSpaceDN/>
        <w:bidi w:val="0"/>
        <w:adjustRightInd/>
        <w:spacing w:line="360" w:lineRule="auto"/>
        <w:textAlignment w:val="auto"/>
        <w:rPr>
          <w:rFonts w:ascii="宋体" w:hAnsi="Times New Roman" w:eastAsia="宋体" w:cs="Times New Roman"/>
          <w:kern w:val="0"/>
          <w:sz w:val="34"/>
          <w:szCs w:val="20"/>
        </w:rPr>
      </w:pP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lang w:val="en-US" w:eastAsia="zh-CN"/>
        </w:rPr>
        <w:t>8）</w:t>
      </w:r>
      <w:r>
        <w:rPr>
          <w:rFonts w:hint="eastAsia" w:ascii="宋体" w:hAnsi="宋体" w:eastAsia="宋体" w:cs="Times New Roman"/>
          <w:bCs/>
          <w:color w:val="000000"/>
          <w:kern w:val="0"/>
          <w:sz w:val="24"/>
          <w:szCs w:val="24"/>
        </w:rPr>
        <w:t>电梯一旦发生故障或运行不正常，可拨打轿箱内联系电话，维保方立即调派急修人员赶到现场并予以处理。轿箱内联系电话在任何时候都将保持畅通，并记录电梯的运行状况、故障次数、修理次数等重要数据，技术人员通过对数据的分析，全面了解电梯的情况，实现对电梯的监控。</w:t>
      </w:r>
    </w:p>
    <w:p w14:paraId="4BC50061">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
          <w:bCs w:val="0"/>
          <w:color w:val="000000"/>
          <w:kern w:val="0"/>
          <w:sz w:val="24"/>
          <w:szCs w:val="24"/>
        </w:rPr>
      </w:pPr>
      <w:r>
        <w:rPr>
          <w:rFonts w:hint="eastAsia" w:ascii="宋体" w:hAnsi="宋体" w:eastAsia="宋体" w:cs="Times New Roman"/>
          <w:b/>
          <w:bCs w:val="0"/>
          <w:color w:val="000000"/>
          <w:kern w:val="0"/>
          <w:sz w:val="24"/>
          <w:szCs w:val="24"/>
          <w:lang w:val="en-US" w:eastAsia="zh-CN"/>
        </w:rPr>
        <w:t>8.5</w:t>
      </w:r>
      <w:r>
        <w:rPr>
          <w:rFonts w:hint="eastAsia" w:ascii="宋体" w:hAnsi="宋体" w:eastAsia="宋体" w:cs="Times New Roman"/>
          <w:b/>
          <w:bCs w:val="0"/>
          <w:color w:val="000000"/>
          <w:kern w:val="0"/>
          <w:sz w:val="24"/>
          <w:szCs w:val="24"/>
        </w:rPr>
        <w:t>维保安全作业要求</w:t>
      </w:r>
    </w:p>
    <w:p w14:paraId="75D00900">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
          <w:bCs w:val="0"/>
          <w:color w:val="000000"/>
          <w:kern w:val="0"/>
          <w:sz w:val="24"/>
          <w:szCs w:val="24"/>
        </w:rPr>
      </w:pPr>
      <w:r>
        <w:rPr>
          <w:rFonts w:hint="eastAsia" w:ascii="宋体" w:hAnsi="宋体" w:eastAsia="宋体" w:cs="Times New Roman"/>
          <w:b/>
          <w:bCs w:val="0"/>
          <w:color w:val="000000"/>
          <w:kern w:val="0"/>
          <w:sz w:val="24"/>
          <w:szCs w:val="24"/>
          <w:lang w:val="en-US" w:eastAsia="zh-CN"/>
        </w:rPr>
        <w:t>8.5.</w:t>
      </w:r>
      <w:r>
        <w:rPr>
          <w:rFonts w:ascii="宋体" w:hAnsi="宋体" w:eastAsia="宋体" w:cs="Times New Roman"/>
          <w:b/>
          <w:bCs w:val="0"/>
          <w:color w:val="000000"/>
          <w:kern w:val="0"/>
          <w:sz w:val="24"/>
          <w:szCs w:val="24"/>
        </w:rPr>
        <w:t>1</w:t>
      </w:r>
      <w:r>
        <w:rPr>
          <w:rFonts w:hint="eastAsia" w:ascii="宋体" w:hAnsi="宋体" w:eastAsia="宋体" w:cs="Times New Roman"/>
          <w:b/>
          <w:bCs w:val="0"/>
          <w:color w:val="000000"/>
          <w:kern w:val="0"/>
          <w:sz w:val="24"/>
          <w:szCs w:val="24"/>
        </w:rPr>
        <w:t>维保前的安全操作要求</w:t>
      </w:r>
    </w:p>
    <w:p w14:paraId="21C5B3D8">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（1）电梯进行维保前，维保人员应在轿厢内放置写有“电梯维保、注意安全”的警示护栏或警示牌，并在首层侯梯厅及需工作楼层电梯层门出入口处设置写有“电梯维保、注意安全”的警示护栏或警示牌。</w:t>
      </w:r>
    </w:p>
    <w:p w14:paraId="5E5A3D9A">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（2）维保人员乘坐该台电梯到达顶层或需进行维保楼层，确认轿厢内无乘客及无关人员后，方可停止电梯进行维保。</w:t>
      </w:r>
    </w:p>
    <w:p w14:paraId="23B4DE29">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
          <w:bCs w:val="0"/>
          <w:color w:val="000000"/>
          <w:kern w:val="0"/>
          <w:sz w:val="24"/>
          <w:szCs w:val="24"/>
          <w:lang w:val="en-US" w:eastAsia="zh-CN"/>
        </w:rPr>
        <w:t>8.5.</w:t>
      </w:r>
      <w:r>
        <w:rPr>
          <w:rFonts w:ascii="宋体" w:hAnsi="宋体" w:eastAsia="宋体" w:cs="Times New Roman"/>
          <w:b/>
          <w:bCs w:val="0"/>
          <w:color w:val="000000"/>
          <w:kern w:val="0"/>
          <w:sz w:val="24"/>
          <w:szCs w:val="24"/>
        </w:rPr>
        <w:t>2</w:t>
      </w:r>
      <w:r>
        <w:rPr>
          <w:rFonts w:hint="eastAsia" w:ascii="宋体" w:hAnsi="宋体" w:eastAsia="宋体" w:cs="Times New Roman"/>
          <w:b/>
          <w:bCs w:val="0"/>
          <w:color w:val="000000"/>
          <w:kern w:val="0"/>
          <w:sz w:val="24"/>
          <w:szCs w:val="24"/>
          <w:lang w:val="en-US" w:eastAsia="zh-CN"/>
        </w:rPr>
        <w:t>.</w:t>
      </w:r>
      <w:r>
        <w:rPr>
          <w:rFonts w:hint="eastAsia" w:ascii="宋体" w:hAnsi="宋体" w:eastAsia="宋体" w:cs="Times New Roman"/>
          <w:bCs/>
          <w:color w:val="000000"/>
          <w:kern w:val="0"/>
          <w:sz w:val="24"/>
          <w:szCs w:val="24"/>
        </w:rPr>
        <w:t>维保过程中的安全操作要求</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严禁带电作业，在进行检修电器设备、电气元件等可能发生触电的工作时，应切断用电设备电源，并采取适当的安全预防措施</w:t>
      </w:r>
      <w:r>
        <w:rPr>
          <w:rFonts w:ascii="宋体" w:hAnsi="宋体" w:eastAsia="宋体" w:cs="Times New Roman"/>
          <w:bCs/>
          <w:color w:val="000000"/>
          <w:kern w:val="0"/>
          <w:sz w:val="24"/>
          <w:szCs w:val="24"/>
        </w:rPr>
        <w:t>(</w:t>
      </w:r>
      <w:r>
        <w:rPr>
          <w:rFonts w:hint="eastAsia" w:ascii="宋体" w:hAnsi="宋体" w:eastAsia="宋体" w:cs="Times New Roman"/>
          <w:bCs/>
          <w:color w:val="000000"/>
          <w:kern w:val="0"/>
          <w:sz w:val="24"/>
          <w:szCs w:val="24"/>
        </w:rPr>
        <w:t>如挂警示牌或上锁</w:t>
      </w:r>
      <w:r>
        <w:rPr>
          <w:rFonts w:ascii="宋体" w:hAnsi="宋体" w:eastAsia="宋体" w:cs="Times New Roman"/>
          <w:bCs/>
          <w:color w:val="000000"/>
          <w:kern w:val="0"/>
          <w:sz w:val="24"/>
          <w:szCs w:val="24"/>
        </w:rPr>
        <w:t>)</w:t>
      </w:r>
      <w:r>
        <w:rPr>
          <w:rFonts w:hint="eastAsia" w:ascii="宋体" w:hAnsi="宋体" w:eastAsia="宋体" w:cs="Times New Roman"/>
          <w:bCs/>
          <w:color w:val="000000"/>
          <w:kern w:val="0"/>
          <w:sz w:val="24"/>
          <w:szCs w:val="24"/>
        </w:rPr>
        <w:t>，避免其他人突然送电给作业人员带来触电的危险。</w:t>
      </w:r>
    </w:p>
    <w:p w14:paraId="6EF6D09F">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8.5.</w:t>
      </w:r>
      <w:r>
        <w:rPr>
          <w:rFonts w:ascii="宋体" w:hAnsi="宋体" w:eastAsia="宋体" w:cs="Times New Roman"/>
          <w:b/>
          <w:bCs w:val="0"/>
          <w:color w:val="000000"/>
          <w:kern w:val="0"/>
          <w:sz w:val="24"/>
          <w:szCs w:val="24"/>
        </w:rPr>
        <w:t>3</w:t>
      </w:r>
      <w:r>
        <w:rPr>
          <w:rFonts w:hint="eastAsia" w:ascii="宋体" w:hAnsi="宋体" w:eastAsia="宋体" w:cs="Times New Roman"/>
          <w:b/>
          <w:bCs w:val="0"/>
          <w:color w:val="000000"/>
          <w:kern w:val="0"/>
          <w:sz w:val="24"/>
          <w:szCs w:val="24"/>
        </w:rPr>
        <w:t>电梯轿顶作业安全操作要求</w:t>
      </w:r>
      <w:r>
        <w:rPr>
          <w:rFonts w:hint="eastAsia" w:ascii="宋体" w:hAnsi="宋体" w:eastAsia="宋体" w:cs="Times New Roman"/>
          <w:b/>
          <w:bCs w:val="0"/>
          <w:color w:val="000000"/>
          <w:kern w:val="0"/>
          <w:sz w:val="24"/>
          <w:szCs w:val="24"/>
          <w:lang w:eastAsia="zh-CN"/>
        </w:rPr>
        <w:t>：</w:t>
      </w:r>
    </w:p>
    <w:p w14:paraId="7DC3C5AA">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（1）进入轿顶工作应正确佩戴安全帽。</w:t>
      </w:r>
    </w:p>
    <w:p w14:paraId="3F5EC3F4">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（2）进入轿顶作业前，应先验证轿顶急停按钮及轿顶检修转换开关是否正常有效，确保功能安全可靠后，方可进入轿顶开始工作。</w:t>
      </w:r>
    </w:p>
    <w:p w14:paraId="5993ABCA">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（3)在轿顶作业时，应以检修方式运行电梯，不得在轿顶以正常速度运行电梯。</w:t>
      </w:r>
    </w:p>
    <w:p w14:paraId="39562399">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（4）到达检修工作楼层时，按下轿顶检修箱上的急停按钮后方可开始作业。</w:t>
      </w:r>
    </w:p>
    <w:p w14:paraId="2C2CD5F2">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（5）在轿顶上工作时，脚下不得有油污。</w:t>
      </w:r>
    </w:p>
    <w:p w14:paraId="02856B4A">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（6）轿顶上操作运行电梯时，应牢握轿厢绳头板、轿厢上梁或轿顶护栏等电梯固定部件，不得握住钢丝绳，手和身体不得放置在反绳轮等旋转部件处。</w:t>
      </w:r>
    </w:p>
    <w:p w14:paraId="6020E30C">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（7）如需在轿顶上开动电梯，观察电梯部件的工作情况，应避免头、手及身体置于轿顶防护栏投影面积范围内，防止在电梯运行中被井道内其它部件碰伤。</w:t>
      </w:r>
    </w:p>
    <w:p w14:paraId="257BFF94">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（8）轿厢运行至井道顶部时</w:t>
      </w:r>
      <w:r>
        <w:rPr>
          <w:rFonts w:ascii="宋体" w:hAnsi="宋体" w:eastAsia="宋体" w:cs="Times New Roman"/>
          <w:bCs/>
          <w:color w:val="000000"/>
          <w:kern w:val="0"/>
          <w:sz w:val="24"/>
          <w:szCs w:val="24"/>
        </w:rPr>
        <w:t>,</w:t>
      </w:r>
      <w:r>
        <w:rPr>
          <w:rFonts w:hint="eastAsia" w:ascii="宋体" w:hAnsi="宋体" w:eastAsia="宋体" w:cs="Times New Roman"/>
          <w:bCs/>
          <w:color w:val="000000"/>
          <w:kern w:val="0"/>
          <w:sz w:val="24"/>
          <w:szCs w:val="24"/>
        </w:rPr>
        <w:t>轿顶作业人员应蹲下确保头部无撞击井道顶部的风险。</w:t>
      </w:r>
    </w:p>
    <w:p w14:paraId="2603F3CB">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（9）如需由轿内人员配合移动电梯，操作时应密切配合，未经轿顶人员许可，轿内人员不得开动电梯。</w:t>
      </w:r>
    </w:p>
    <w:p w14:paraId="5A989F46">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（10）两台或多台电梯共用一个井道时，在轿顶作业应注意本电梯及相邻电梯的动态，以防碰撞。</w:t>
      </w:r>
    </w:p>
    <w:p w14:paraId="77B187C1">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（11）相邻电梯在运行时，不得站在井道相邻电梯间的结构梁上进行电梯检修。</w:t>
      </w:r>
    </w:p>
    <w:p w14:paraId="5581251C">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8.5.</w:t>
      </w:r>
      <w:r>
        <w:rPr>
          <w:rFonts w:ascii="宋体" w:hAnsi="宋体" w:eastAsia="宋体" w:cs="Times New Roman"/>
          <w:b/>
          <w:bCs w:val="0"/>
          <w:color w:val="000000"/>
          <w:kern w:val="0"/>
          <w:sz w:val="24"/>
          <w:szCs w:val="24"/>
        </w:rPr>
        <w:t>4</w:t>
      </w:r>
      <w:r>
        <w:rPr>
          <w:rFonts w:hint="eastAsia" w:ascii="宋体" w:hAnsi="宋体" w:eastAsia="宋体" w:cs="Times New Roman"/>
          <w:b/>
          <w:bCs w:val="0"/>
          <w:color w:val="000000"/>
          <w:kern w:val="0"/>
          <w:sz w:val="24"/>
          <w:szCs w:val="24"/>
        </w:rPr>
        <w:t>电梯底坑作业安全操作要求</w:t>
      </w:r>
      <w:r>
        <w:rPr>
          <w:rFonts w:hint="eastAsia" w:ascii="宋体" w:hAnsi="宋体" w:eastAsia="宋体" w:cs="Times New Roman"/>
          <w:b/>
          <w:bCs w:val="0"/>
          <w:color w:val="000000"/>
          <w:kern w:val="0"/>
          <w:sz w:val="24"/>
          <w:szCs w:val="24"/>
          <w:lang w:eastAsia="zh-CN"/>
        </w:rPr>
        <w:t>：</w:t>
      </w:r>
    </w:p>
    <w:p w14:paraId="7C7A73DF">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（1）进入底坑工作应正确佩戴安全帽。</w:t>
      </w:r>
    </w:p>
    <w:p w14:paraId="54231242">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（2）进入底坑作业前，在验证层门电气联锁回路是否短接、底坑上急停按钮及底坑下急停按钮是否正常有效后，方可开始底坑工作。</w:t>
      </w:r>
    </w:p>
    <w:p w14:paraId="5524BD44">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（3）进入底坑作业时，按下底坑上急停按钮后方可进入底坑，到达底坑地面后，按下底坑下急停按钮方可恢复底坑上急停按钮。</w:t>
      </w:r>
    </w:p>
    <w:p w14:paraId="10B9BA09">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（4）底坑作业时，在不需移动电梯轿厢的情况下，应保证底坑下急停按钮处于作用状态。</w:t>
      </w:r>
    </w:p>
    <w:p w14:paraId="4D86B6CF">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（5）底坑作业时，如需轿顶或轿内人员配合移动电梯轿厢，操作时双方应密切配合，未经底坑作业人员许可，轿内或轿顶的检修人员不得开动电梯。</w:t>
      </w:r>
    </w:p>
    <w:p w14:paraId="6011361C">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（6）移动电梯轿厢时，底坑作业人员应蹲下确保无撞击轿底及对重的风险</w:t>
      </w:r>
      <w:r>
        <w:rPr>
          <w:rFonts w:ascii="宋体" w:hAnsi="宋体" w:eastAsia="宋体" w:cs="Times New Roman"/>
          <w:bCs/>
          <w:color w:val="000000"/>
          <w:kern w:val="0"/>
          <w:sz w:val="24"/>
          <w:szCs w:val="24"/>
        </w:rPr>
        <w:t>,</w:t>
      </w:r>
      <w:r>
        <w:rPr>
          <w:rFonts w:hint="eastAsia" w:ascii="宋体" w:hAnsi="宋体" w:eastAsia="宋体" w:cs="Times New Roman"/>
          <w:bCs/>
          <w:color w:val="000000"/>
          <w:kern w:val="0"/>
          <w:sz w:val="24"/>
          <w:szCs w:val="24"/>
        </w:rPr>
        <w:t>手和身体不得接触电梯轿底的电梯部件。</w:t>
      </w:r>
    </w:p>
    <w:p w14:paraId="7DD565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8.5.6</w:t>
      </w:r>
      <w:r>
        <w:rPr>
          <w:rFonts w:hint="eastAsia" w:ascii="宋体" w:hAnsi="宋体" w:eastAsia="宋体" w:cs="Times New Roman"/>
          <w:b/>
          <w:bCs w:val="0"/>
          <w:color w:val="000000"/>
          <w:kern w:val="0"/>
          <w:sz w:val="24"/>
          <w:szCs w:val="24"/>
        </w:rPr>
        <w:t>电梯机房作业安全操作要求</w:t>
      </w:r>
      <w:r>
        <w:rPr>
          <w:rFonts w:hint="eastAsia" w:ascii="宋体" w:hAnsi="宋体" w:eastAsia="宋体" w:cs="Times New Roman"/>
          <w:b/>
          <w:bCs w:val="0"/>
          <w:color w:val="000000"/>
          <w:kern w:val="0"/>
          <w:sz w:val="24"/>
          <w:szCs w:val="24"/>
          <w:lang w:eastAsia="zh-CN"/>
        </w:rPr>
        <w:t>：</w:t>
      </w:r>
    </w:p>
    <w:p w14:paraId="3F15C9C9">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（1）机房作业时，应防止被机房线槽等凸出地面的设备绊倒。</w:t>
      </w:r>
    </w:p>
    <w:p w14:paraId="6D14572F">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（2）检查清洗钢丝绳及清洁润滑电梯旋转部件时，应暂停电梯运行。</w:t>
      </w:r>
    </w:p>
    <w:p w14:paraId="216EAEDD">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（3）机房作业时，作业人员的身体及头手不得接触曳引轮、限速器等旋转部件。</w:t>
      </w:r>
    </w:p>
    <w:p w14:paraId="38C56850">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（4）如需在机房检修运行电梯，应确认电梯轿厢、轿顶及底坑无乘客及其他作业人员。</w:t>
      </w:r>
    </w:p>
    <w:p w14:paraId="0562BE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8.5.7</w:t>
      </w:r>
      <w:r>
        <w:rPr>
          <w:rFonts w:hint="eastAsia" w:ascii="宋体" w:hAnsi="宋体" w:eastAsia="宋体" w:cs="Times New Roman"/>
          <w:b/>
          <w:bCs w:val="0"/>
          <w:color w:val="000000"/>
          <w:kern w:val="0"/>
          <w:sz w:val="24"/>
          <w:szCs w:val="24"/>
        </w:rPr>
        <w:t>电梯作业其他安全操作要求</w:t>
      </w:r>
      <w:r>
        <w:rPr>
          <w:rFonts w:hint="eastAsia" w:ascii="宋体" w:hAnsi="宋体" w:eastAsia="宋体" w:cs="Times New Roman"/>
          <w:b/>
          <w:bCs w:val="0"/>
          <w:color w:val="000000"/>
          <w:kern w:val="0"/>
          <w:sz w:val="24"/>
          <w:szCs w:val="24"/>
          <w:lang w:eastAsia="zh-CN"/>
        </w:rPr>
        <w:t>：</w:t>
      </w:r>
    </w:p>
    <w:p w14:paraId="1297D6F5">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（1）作业人员不得站在井道外（内）探身到井道内（外）、两脚分别站在轿顶与层门地坎之间或层门门头与轿厢地坎之间进行长时间的操作。</w:t>
      </w:r>
    </w:p>
    <w:p w14:paraId="4E5ADFF2">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（2）作业中，如需吊装主机或轿厢，应确保手拉葫芦、吊装索具及绳卡的安全性能。</w:t>
      </w:r>
    </w:p>
    <w:p w14:paraId="6FD16501">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（3）在井道及底坑作业时，如超过</w:t>
      </w:r>
      <w:r>
        <w:rPr>
          <w:rFonts w:ascii="宋体" w:hAnsi="宋体" w:eastAsia="宋体" w:cs="Times New Roman"/>
          <w:bCs/>
          <w:color w:val="000000"/>
          <w:kern w:val="0"/>
          <w:sz w:val="24"/>
          <w:szCs w:val="24"/>
        </w:rPr>
        <w:t>2m</w:t>
      </w:r>
      <w:r>
        <w:rPr>
          <w:rFonts w:hint="eastAsia" w:ascii="宋体" w:hAnsi="宋体" w:eastAsia="宋体" w:cs="Times New Roman"/>
          <w:bCs/>
          <w:color w:val="000000"/>
          <w:kern w:val="0"/>
          <w:sz w:val="24"/>
          <w:szCs w:val="24"/>
        </w:rPr>
        <w:t>以上作业，应系好安全带。</w:t>
      </w:r>
    </w:p>
    <w:p w14:paraId="62C04CAC">
      <w:pPr>
        <w:pageBreakBefore w:val="0"/>
        <w:widowControl w:val="0"/>
        <w:kinsoku/>
        <w:wordWrap/>
        <w:overflowPunct/>
        <w:topLinePunct w:val="0"/>
        <w:autoSpaceDE/>
        <w:autoSpaceDN/>
        <w:bidi w:val="0"/>
        <w:adjustRightInd/>
        <w:spacing w:line="360" w:lineRule="auto"/>
        <w:textAlignment w:val="auto"/>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lang w:val="en-US" w:eastAsia="zh-CN"/>
        </w:rPr>
        <w:t>4）</w:t>
      </w:r>
      <w:r>
        <w:rPr>
          <w:rFonts w:hint="eastAsia" w:ascii="宋体" w:hAnsi="宋体" w:eastAsia="宋体" w:cs="Times New Roman"/>
          <w:bCs/>
          <w:color w:val="000000"/>
          <w:kern w:val="0"/>
          <w:sz w:val="24"/>
          <w:szCs w:val="24"/>
        </w:rPr>
        <w:t>为了确保该项目电梯正常安全运行，维保单位将配置具有多年电梯维修保养工作经验的维修保养管理团队负责这该项目的电梯维保、技术培训、安全检查、项目协调等工作，同时根据该项目电梯设备的品牌、技术特性、技术要求配备完善的维修器具和工具及常用易损件，全力保障该项目所有电梯安全、可靠的运行使用。</w:t>
      </w:r>
    </w:p>
    <w:p w14:paraId="4C1BEFDB">
      <w:pPr>
        <w:keepNext/>
        <w:keepLines/>
        <w:pageBreakBefore w:val="0"/>
        <w:widowControl w:val="0"/>
        <w:tabs>
          <w:tab w:val="left" w:pos="0"/>
        </w:tabs>
        <w:kinsoku/>
        <w:wordWrap/>
        <w:overflowPunct/>
        <w:topLinePunct w:val="0"/>
        <w:autoSpaceDE/>
        <w:autoSpaceDN/>
        <w:bidi w:val="0"/>
        <w:adjustRightInd/>
        <w:snapToGrid w:val="0"/>
        <w:spacing w:line="360" w:lineRule="auto"/>
        <w:textAlignment w:val="auto"/>
        <w:rPr>
          <w:rFonts w:hint="eastAsia" w:ascii="宋体" w:hAnsi="宋体" w:eastAsia="宋体" w:cs="Times New Roman"/>
          <w:b/>
          <w:bCs w:val="0"/>
          <w:color w:val="000000"/>
          <w:kern w:val="0"/>
          <w:sz w:val="24"/>
          <w:szCs w:val="24"/>
          <w:lang w:eastAsia="zh-CN"/>
        </w:rPr>
      </w:pPr>
      <w:r>
        <w:rPr>
          <w:rFonts w:hint="eastAsia" w:ascii="宋体" w:hAnsi="宋体" w:eastAsia="宋体" w:cs="Times New Roman"/>
          <w:b/>
          <w:bCs w:val="0"/>
          <w:color w:val="000000"/>
          <w:kern w:val="0"/>
          <w:sz w:val="24"/>
          <w:szCs w:val="24"/>
          <w:lang w:val="en-US" w:eastAsia="zh-CN"/>
        </w:rPr>
        <w:t>9.1</w:t>
      </w:r>
      <w:r>
        <w:rPr>
          <w:rFonts w:hint="eastAsia" w:ascii="宋体" w:hAnsi="宋体" w:eastAsia="宋体" w:cs="Times New Roman"/>
          <w:b/>
          <w:bCs w:val="0"/>
          <w:color w:val="000000"/>
          <w:kern w:val="0"/>
          <w:sz w:val="24"/>
          <w:szCs w:val="24"/>
        </w:rPr>
        <w:t>对本项目运行维护合理化要求</w:t>
      </w:r>
      <w:r>
        <w:rPr>
          <w:rFonts w:hint="eastAsia" w:ascii="宋体" w:hAnsi="宋体" w:eastAsia="宋体" w:cs="Times New Roman"/>
          <w:b/>
          <w:bCs w:val="0"/>
          <w:color w:val="000000"/>
          <w:kern w:val="0"/>
          <w:sz w:val="24"/>
          <w:szCs w:val="24"/>
          <w:lang w:eastAsia="zh-CN"/>
        </w:rPr>
        <w:t>：</w:t>
      </w:r>
    </w:p>
    <w:p w14:paraId="07FE419C">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9.1</w:t>
      </w:r>
      <w:r>
        <w:rPr>
          <w:rFonts w:ascii="宋体" w:hAnsi="宋体" w:eastAsia="宋体" w:cs="Times New Roman"/>
          <w:bCs/>
          <w:color w:val="000000"/>
          <w:kern w:val="0"/>
          <w:sz w:val="24"/>
          <w:szCs w:val="24"/>
        </w:rPr>
        <w:t>.1</w:t>
      </w:r>
      <w:r>
        <w:rPr>
          <w:rFonts w:hint="eastAsia" w:ascii="宋体" w:hAnsi="宋体" w:eastAsia="宋体" w:cs="Times New Roman"/>
          <w:bCs/>
          <w:color w:val="000000"/>
          <w:kern w:val="0"/>
          <w:sz w:val="24"/>
          <w:szCs w:val="24"/>
        </w:rPr>
        <w:t>保养</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投标人通过有计划的保养，调整以保证电梯的零部件在良性循环的状态下运转，延长零部件的工作寿命，以及更换已磨损的零部件来预防故障的发生，节省修理费用，降低故障发生率，从而避免这些故障的发生而引起的停梯及人身、财产的损失。提倡电梯售后服务应重在保养，而不是维修。保养工作必须由受过专业训练的维护人员使用专用工具按照工作计划表进行。</w:t>
      </w:r>
    </w:p>
    <w:p w14:paraId="02B9FA97">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9.1.</w:t>
      </w:r>
      <w:r>
        <w:rPr>
          <w:rFonts w:ascii="宋体" w:hAnsi="宋体" w:eastAsia="宋体" w:cs="Times New Roman"/>
          <w:bCs/>
          <w:color w:val="000000"/>
          <w:kern w:val="0"/>
          <w:sz w:val="24"/>
          <w:szCs w:val="24"/>
        </w:rPr>
        <w:t>2</w:t>
      </w:r>
      <w:r>
        <w:rPr>
          <w:rFonts w:hint="eastAsia" w:ascii="宋体" w:hAnsi="宋体" w:eastAsia="宋体" w:cs="Times New Roman"/>
          <w:bCs/>
          <w:color w:val="000000"/>
          <w:kern w:val="0"/>
          <w:sz w:val="24"/>
          <w:szCs w:val="24"/>
        </w:rPr>
        <w:t>定期和周期检查</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除了实施定期的、有计划的预防保养外，还将严格执行定期的常规质量安全检查程序，每年对用户的电梯进行彻底的安全质量检查。检查标准是严格和统一的，使设备达到国家安全质量标准。电梯的安全性和可靠性对于用户来说是最重要的，始终将设备使用者的安全放在保养的首位。</w:t>
      </w:r>
    </w:p>
    <w:p w14:paraId="2576BEC4">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9.1.</w:t>
      </w:r>
      <w:r>
        <w:rPr>
          <w:rFonts w:ascii="宋体" w:hAnsi="宋体" w:eastAsia="宋体" w:cs="Times New Roman"/>
          <w:bCs/>
          <w:color w:val="000000"/>
          <w:kern w:val="0"/>
          <w:sz w:val="24"/>
          <w:szCs w:val="24"/>
        </w:rPr>
        <w:t>3</w:t>
      </w:r>
      <w:r>
        <w:rPr>
          <w:rFonts w:hint="eastAsia" w:ascii="宋体" w:hAnsi="宋体" w:eastAsia="宋体" w:cs="Times New Roman"/>
          <w:bCs/>
          <w:color w:val="000000"/>
          <w:kern w:val="0"/>
          <w:sz w:val="24"/>
          <w:szCs w:val="24"/>
        </w:rPr>
        <w:t>安全测试</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测试系统内部所有部件，定期检查所有安全装置，做例行安全测试，若不符合要求，马上进行更换，保证电梯安全运行。</w:t>
      </w:r>
    </w:p>
    <w:p w14:paraId="6746669B">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lang w:val="en-US" w:eastAsia="zh-CN"/>
        </w:rPr>
        <w:t>9.1.</w:t>
      </w:r>
      <w:r>
        <w:rPr>
          <w:rFonts w:hint="eastAsia" w:ascii="宋体" w:hAnsi="宋体" w:eastAsia="宋体" w:cs="Times New Roman"/>
          <w:bCs/>
          <w:color w:val="000000"/>
          <w:kern w:val="0"/>
          <w:sz w:val="24"/>
          <w:szCs w:val="24"/>
        </w:rPr>
        <w:t>4修理服务</w:t>
      </w:r>
      <w:r>
        <w:rPr>
          <w:rFonts w:hint="eastAsia" w:ascii="宋体" w:hAnsi="宋体" w:eastAsia="宋体" w:cs="Times New Roman"/>
          <w:bCs/>
          <w:color w:val="000000"/>
          <w:kern w:val="0"/>
          <w:sz w:val="24"/>
          <w:szCs w:val="24"/>
          <w:lang w:eastAsia="zh-CN"/>
        </w:rPr>
        <w:t>：</w:t>
      </w:r>
      <w:r>
        <w:rPr>
          <w:rFonts w:hint="eastAsia" w:ascii="宋体" w:hAnsi="宋体" w:eastAsia="宋体" w:cs="Times New Roman"/>
          <w:bCs/>
          <w:color w:val="000000"/>
          <w:kern w:val="0"/>
          <w:sz w:val="24"/>
          <w:szCs w:val="24"/>
        </w:rPr>
        <w:t>电梯的修理服务分重大维修、一般维修。根据《中华人民共和国特种设备安全法》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电梯维保服务商重大维修、一般维修应依法取得电梯制造厂商的许可后进行。</w:t>
      </w:r>
    </w:p>
    <w:p w14:paraId="4B7F5D22">
      <w:pPr>
        <w:pStyle w:val="7"/>
        <w:spacing w:line="400" w:lineRule="exact"/>
        <w:ind w:left="0" w:leftChars="0" w:firstLine="0" w:firstLineChars="0"/>
        <w:rPr>
          <w:rFonts w:hint="eastAsia"/>
          <w:lang w:val="en-US" w:eastAsia="zh-CN"/>
        </w:rPr>
      </w:pPr>
      <w:r>
        <w:rPr>
          <w:rFonts w:hint="eastAsia" w:hAnsi="宋体"/>
          <w:bCs/>
          <w:color w:val="000000"/>
          <w:kern w:val="0"/>
          <w:sz w:val="24"/>
          <w:szCs w:val="24"/>
          <w:lang w:val="en-US" w:eastAsia="zh-CN"/>
        </w:rPr>
        <w:t>9.1.5</w:t>
      </w:r>
      <w:r>
        <w:rPr>
          <w:rFonts w:hint="eastAsia" w:ascii="宋体" w:hAnsi="宋体"/>
          <w:bCs/>
          <w:color w:val="000000"/>
          <w:kern w:val="0"/>
          <w:sz w:val="24"/>
          <w:szCs w:val="24"/>
        </w:rPr>
        <w:t>电梯年检</w:t>
      </w:r>
      <w:r>
        <w:rPr>
          <w:rFonts w:hint="eastAsia" w:ascii="宋体" w:hAnsi="宋体"/>
          <w:bCs/>
          <w:color w:val="000000"/>
          <w:kern w:val="0"/>
          <w:sz w:val="24"/>
          <w:szCs w:val="24"/>
          <w:lang w:eastAsia="zh-CN"/>
        </w:rPr>
        <w:t>：</w:t>
      </w:r>
      <w:r>
        <w:rPr>
          <w:rFonts w:hint="eastAsia" w:ascii="宋体" w:hAnsi="宋体" w:eastAsia="宋体" w:cs="Times New Roman"/>
          <w:bCs/>
          <w:color w:val="000000"/>
          <w:kern w:val="2"/>
          <w:sz w:val="24"/>
          <w:szCs w:val="24"/>
          <w:lang w:val="en-US" w:eastAsia="zh-CN" w:bidi="ar-SA"/>
        </w:rPr>
        <w:t>为了使电梯顺利通过当地质量技术监督局的年度检查，维保方将于年检前对设备进行一次全面检查，书面通知客户超出合同范围所需要修理、更换的项目，并最终协助质量技术监督局进行年检</w:t>
      </w:r>
    </w:p>
    <w:p w14:paraId="7AAA3ADB">
      <w:pPr>
        <w:pStyle w:val="19"/>
        <w:numPr>
          <w:ilvl w:val="0"/>
          <w:numId w:val="0"/>
        </w:numPr>
        <w:ind w:leftChars="0"/>
        <w:rPr>
          <w:rFonts w:hint="eastAsia"/>
          <w:lang w:val="en-US" w:eastAsia="zh-CN"/>
        </w:rPr>
      </w:pPr>
      <w:r>
        <w:rPr>
          <w:rFonts w:hint="eastAsia"/>
          <w:lang w:val="en-US" w:eastAsia="zh-CN"/>
        </w:rPr>
        <w:t>（二）商务要求：</w:t>
      </w:r>
    </w:p>
    <w:p w14:paraId="7AF58B5F">
      <w:pPr>
        <w:pStyle w:val="19"/>
        <w:numPr>
          <w:ilvl w:val="0"/>
          <w:numId w:val="0"/>
        </w:numPr>
        <w:ind w:left="0" w:leftChars="0" w:firstLine="0" w:firstLineChars="0"/>
        <w:rPr>
          <w:rFonts w:hint="eastAsia" w:ascii="宋体" w:hAnsi="宋体" w:eastAsia="宋体" w:cs="Times New Roman"/>
          <w:bCs/>
          <w:color w:val="000000"/>
          <w:kern w:val="0"/>
          <w:sz w:val="24"/>
          <w:szCs w:val="24"/>
          <w:rtl w:val="0"/>
          <w:lang w:val="zh-TW" w:eastAsia="zh-TW" w:bidi="ar-SA"/>
        </w:rPr>
      </w:pPr>
      <w:r>
        <w:rPr>
          <w:rFonts w:hint="eastAsia" w:ascii="宋体" w:hAnsi="宋体" w:eastAsia="宋体" w:cs="Times New Roman"/>
          <w:bCs/>
          <w:color w:val="000000"/>
          <w:kern w:val="0"/>
          <w:sz w:val="24"/>
          <w:szCs w:val="24"/>
          <w:lang w:val="en-US" w:eastAsia="zh-CN" w:bidi="ar-SA"/>
        </w:rPr>
        <w:t>1、交货时间：</w:t>
      </w:r>
      <w:r>
        <w:rPr>
          <w:rFonts w:hint="eastAsia" w:ascii="宋体" w:hAnsi="宋体" w:eastAsia="宋体" w:cs="Times New Roman"/>
          <w:bCs/>
          <w:color w:val="000000"/>
          <w:kern w:val="0"/>
          <w:sz w:val="24"/>
          <w:szCs w:val="24"/>
          <w:rtl w:val="0"/>
          <w:lang w:val="zh-TW" w:eastAsia="zh-TW" w:bidi="ar-SA"/>
        </w:rPr>
        <w:t>在合同签订后</w:t>
      </w:r>
      <w:r>
        <w:rPr>
          <w:rFonts w:hint="eastAsia" w:ascii="宋体" w:hAnsi="宋体" w:eastAsia="宋体" w:cs="Times New Roman"/>
          <w:bCs/>
          <w:color w:val="000000"/>
          <w:kern w:val="0"/>
          <w:sz w:val="24"/>
          <w:szCs w:val="24"/>
          <w:rtl w:val="0"/>
          <w:lang w:val="en-US" w:eastAsia="zh-CN" w:bidi="ar-SA"/>
        </w:rPr>
        <w:t>10</w:t>
      </w:r>
      <w:r>
        <w:rPr>
          <w:rFonts w:hint="eastAsia" w:ascii="宋体" w:hAnsi="宋体" w:eastAsia="宋体" w:cs="Times New Roman"/>
          <w:bCs/>
          <w:color w:val="000000"/>
          <w:kern w:val="0"/>
          <w:sz w:val="24"/>
          <w:szCs w:val="24"/>
          <w:rtl w:val="0"/>
          <w:lang w:val="zh-TW" w:eastAsia="zh-TW" w:bidi="ar-SA"/>
        </w:rPr>
        <w:t>个工作日内完成</w:t>
      </w:r>
    </w:p>
    <w:p w14:paraId="33C1815B">
      <w:pPr>
        <w:pStyle w:val="19"/>
        <w:numPr>
          <w:ilvl w:val="0"/>
          <w:numId w:val="0"/>
        </w:numPr>
        <w:ind w:left="0" w:leftChars="0" w:firstLine="0" w:firstLineChars="0"/>
        <w:rPr>
          <w:rFonts w:hint="eastAsia" w:ascii="宋体" w:hAnsi="宋体" w:eastAsia="宋体" w:cs="Times New Roman"/>
          <w:bCs/>
          <w:color w:val="000000"/>
          <w:kern w:val="0"/>
          <w:sz w:val="24"/>
          <w:szCs w:val="24"/>
          <w:lang w:val="en-US" w:eastAsia="zh-CN" w:bidi="ar-SA"/>
        </w:rPr>
      </w:pPr>
      <w:r>
        <w:rPr>
          <w:rFonts w:hint="eastAsia" w:ascii="宋体" w:hAnsi="宋体" w:eastAsia="宋体" w:cs="Times New Roman"/>
          <w:bCs/>
          <w:color w:val="000000"/>
          <w:kern w:val="0"/>
          <w:sz w:val="24"/>
          <w:szCs w:val="24"/>
          <w:lang w:val="en-US" w:eastAsia="zh-CN" w:bidi="ar-SA"/>
        </w:rPr>
        <w:t>2、付款方式：签订合同后，每半年支付一次维保费，</w:t>
      </w:r>
      <w:r>
        <w:rPr>
          <w:rFonts w:hint="default" w:hAnsi="宋体" w:cs="Times New Roman"/>
          <w:bCs/>
          <w:color w:val="000000"/>
          <w:kern w:val="0"/>
          <w:sz w:val="24"/>
          <w:szCs w:val="24"/>
          <w:lang w:eastAsia="zh-CN" w:bidi="ar-SA"/>
        </w:rPr>
        <w:t>实际支付维保费用为中标金额的50%减去考核扣款后的费用</w:t>
      </w:r>
      <w:r>
        <w:rPr>
          <w:rFonts w:hint="eastAsia" w:ascii="宋体" w:hAnsi="宋体" w:eastAsia="宋体" w:cs="Times New Roman"/>
          <w:bCs/>
          <w:color w:val="000000"/>
          <w:kern w:val="0"/>
          <w:sz w:val="24"/>
          <w:szCs w:val="24"/>
          <w:lang w:val="en-US" w:eastAsia="zh-CN" w:bidi="ar-SA"/>
        </w:rPr>
        <w:t>。</w:t>
      </w:r>
    </w:p>
    <w:p w14:paraId="69207E41">
      <w:pPr>
        <w:pStyle w:val="19"/>
        <w:numPr>
          <w:ilvl w:val="0"/>
          <w:numId w:val="0"/>
        </w:numPr>
        <w:ind w:left="0" w:leftChars="0" w:firstLine="0" w:firstLineChars="0"/>
        <w:rPr>
          <w:rFonts w:hint="default" w:ascii="宋体" w:hAnsi="宋体" w:eastAsia="宋体" w:cs="Times New Roman"/>
          <w:bCs/>
          <w:color w:val="000000"/>
          <w:kern w:val="0"/>
          <w:sz w:val="24"/>
          <w:szCs w:val="24"/>
          <w:lang w:val="en-US" w:eastAsia="zh-CN" w:bidi="ar-SA"/>
        </w:rPr>
      </w:pPr>
      <w:r>
        <w:rPr>
          <w:rFonts w:hint="eastAsia" w:ascii="宋体" w:hAnsi="宋体" w:eastAsia="宋体" w:cs="Times New Roman"/>
          <w:bCs/>
          <w:color w:val="000000"/>
          <w:kern w:val="0"/>
          <w:sz w:val="24"/>
          <w:szCs w:val="24"/>
          <w:lang w:val="en-US" w:eastAsia="zh-CN" w:bidi="ar-SA"/>
        </w:rPr>
        <w:t xml:space="preserve">3、质保期 </w:t>
      </w:r>
      <w:r>
        <w:rPr>
          <w:rFonts w:hint="default" w:ascii="宋体" w:hAnsi="宋体" w:eastAsia="宋体" w:cs="Times New Roman"/>
          <w:bCs/>
          <w:color w:val="000000"/>
          <w:kern w:val="0"/>
          <w:sz w:val="24"/>
          <w:szCs w:val="24"/>
          <w:lang w:val="en-US" w:eastAsia="zh-CN" w:bidi="ar-SA"/>
        </w:rPr>
        <w:t>≥</w:t>
      </w:r>
      <w:r>
        <w:rPr>
          <w:rFonts w:hint="eastAsia" w:ascii="宋体" w:hAnsi="宋体" w:eastAsia="宋体" w:cs="Times New Roman"/>
          <w:bCs/>
          <w:color w:val="000000"/>
          <w:kern w:val="0"/>
          <w:sz w:val="24"/>
          <w:szCs w:val="24"/>
          <w:lang w:val="en-US" w:eastAsia="zh-CN" w:bidi="ar-SA"/>
        </w:rPr>
        <w:t>1年</w:t>
      </w:r>
    </w:p>
    <w:p w14:paraId="6D4651F9">
      <w:pPr>
        <w:pStyle w:val="19"/>
        <w:numPr>
          <w:ilvl w:val="0"/>
          <w:numId w:val="0"/>
        </w:numPr>
        <w:ind w:left="0" w:leftChars="0" w:firstLine="0" w:firstLineChars="0"/>
        <w:rPr>
          <w:rFonts w:hint="default" w:ascii="宋体" w:hAnsi="宋体" w:eastAsia="宋体" w:cs="Times New Roman"/>
          <w:bCs/>
          <w:color w:val="000000"/>
          <w:kern w:val="0"/>
          <w:sz w:val="24"/>
          <w:szCs w:val="24"/>
          <w:lang w:val="en-US" w:eastAsia="zh-CN" w:bidi="ar-SA"/>
        </w:rPr>
      </w:pPr>
      <w:r>
        <w:rPr>
          <w:rFonts w:hint="eastAsia" w:ascii="宋体" w:hAnsi="宋体" w:eastAsia="宋体" w:cs="Times New Roman"/>
          <w:bCs/>
          <w:color w:val="000000"/>
          <w:kern w:val="0"/>
          <w:sz w:val="24"/>
          <w:szCs w:val="24"/>
          <w:lang w:val="en-US" w:eastAsia="zh-CN" w:bidi="ar-SA"/>
        </w:rPr>
        <w:t>5、到货验收合格后商家1周内提供报账所需手续及资料，如发票、出库单等。</w:t>
      </w:r>
    </w:p>
    <w:p w14:paraId="392BCBCC">
      <w:pPr>
        <w:pStyle w:val="19"/>
        <w:numPr>
          <w:ilvl w:val="0"/>
          <w:numId w:val="0"/>
        </w:numPr>
        <w:ind w:leftChars="0"/>
        <w:rPr>
          <w:rFonts w:hint="default"/>
          <w:lang w:val="en-US" w:eastAsia="zh-CN"/>
        </w:rPr>
      </w:pPr>
    </w:p>
    <w:p w14:paraId="13B0F410">
      <w:pPr>
        <w:rPr>
          <w:rFonts w:hint="default"/>
          <w:lang w:val="en-US" w:eastAsia="zh-CN"/>
        </w:rPr>
      </w:pPr>
      <w:r>
        <w:rPr>
          <w:rFonts w:hint="eastAsia" w:ascii="宋体" w:hAnsi="Times New Roman" w:eastAsia="宋体" w:cstheme="minorBidi"/>
          <w:kern w:val="0"/>
          <w:sz w:val="28"/>
          <w:szCs w:val="24"/>
          <w:lang w:val="en-US" w:eastAsia="zh-CN" w:bidi="ar-SA"/>
        </w:rPr>
        <w:t>（三）考核标准</w:t>
      </w:r>
    </w:p>
    <w:p w14:paraId="79DF8249">
      <w:pPr>
        <w:pStyle w:val="19"/>
        <w:numPr>
          <w:ilvl w:val="0"/>
          <w:numId w:val="0"/>
        </w:numPr>
        <w:ind w:left="0" w:leftChars="0" w:firstLine="0" w:firstLineChars="0"/>
        <w:rPr>
          <w:rFonts w:hint="default" w:ascii="仿宋" w:hAnsi="仿宋" w:eastAsia="仿宋" w:cs="仿宋"/>
          <w:sz w:val="24"/>
          <w:szCs w:val="24"/>
          <w:lang w:val="en-US" w:eastAsia="zh-CN" w:bidi="ar-SA"/>
        </w:rPr>
      </w:pPr>
      <w:r>
        <w:rPr>
          <w:rFonts w:hint="eastAsia" w:ascii="宋体" w:hAnsi="宋体" w:eastAsia="宋体" w:cs="Times New Roman"/>
          <w:bCs/>
          <w:color w:val="000000"/>
          <w:kern w:val="0"/>
          <w:sz w:val="24"/>
          <w:szCs w:val="24"/>
          <w:lang w:val="en-US" w:eastAsia="zh-CN" w:bidi="ar-SA"/>
        </w:rPr>
        <w:t>服务期内，采购人针对成交人每</w:t>
      </w:r>
      <w:r>
        <w:rPr>
          <w:rFonts w:hint="eastAsia" w:hAnsi="宋体" w:cs="Times New Roman"/>
          <w:bCs/>
          <w:color w:val="000000"/>
          <w:kern w:val="0"/>
          <w:sz w:val="24"/>
          <w:szCs w:val="24"/>
          <w:lang w:val="en-US" w:eastAsia="zh-CN" w:bidi="ar-SA"/>
        </w:rPr>
        <w:t>半年</w:t>
      </w:r>
      <w:r>
        <w:rPr>
          <w:rFonts w:hint="eastAsia" w:ascii="宋体" w:hAnsi="宋体" w:eastAsia="宋体" w:cs="Times New Roman"/>
          <w:bCs/>
          <w:color w:val="000000"/>
          <w:kern w:val="0"/>
          <w:sz w:val="24"/>
          <w:szCs w:val="24"/>
          <w:lang w:val="en-US" w:eastAsia="zh-CN" w:bidi="ar-SA"/>
        </w:rPr>
        <w:t>进行考核1次。满分100分，采购人代表从人员基本条件、维保过程质量、问题整改及时性等方面对供应商进行考核（具体内容详见服务考核表），考核以500元为计量基数进行扣款。考核得分≥95分，不扣违约款；考核得分＜95分的，扣款金额=（95-考核分数）×考核扣款基数(500元)，在此基础上，成交供应商</w:t>
      </w:r>
      <w:r>
        <w:rPr>
          <w:rFonts w:hint="eastAsia" w:hAnsi="宋体" w:cs="Times New Roman"/>
          <w:bCs/>
          <w:color w:val="000000"/>
          <w:kern w:val="0"/>
          <w:sz w:val="24"/>
          <w:szCs w:val="24"/>
          <w:lang w:val="en-US" w:eastAsia="zh-CN" w:bidi="ar-SA"/>
        </w:rPr>
        <w:t>考核期</w:t>
      </w:r>
      <w:r>
        <w:rPr>
          <w:rFonts w:hint="eastAsia" w:ascii="宋体" w:hAnsi="宋体" w:eastAsia="宋体" w:cs="Times New Roman"/>
          <w:bCs/>
          <w:color w:val="000000"/>
          <w:kern w:val="0"/>
          <w:sz w:val="24"/>
          <w:szCs w:val="24"/>
          <w:lang w:val="en-US" w:eastAsia="zh-CN" w:bidi="ar-SA"/>
        </w:rPr>
        <w:t>考核分数＜80分，或者因成交供应商原因导致采购人电梯不能正常运行，采购人有权单方面解除合同并保留向成交供应商索赔的权利。</w:t>
      </w:r>
      <w:r>
        <w:rPr>
          <w:rFonts w:hint="eastAsia" w:hAnsi="宋体" w:cs="Times New Roman"/>
          <w:bCs/>
          <w:color w:val="000000"/>
          <w:kern w:val="0"/>
          <w:sz w:val="24"/>
          <w:szCs w:val="24"/>
          <w:lang w:val="en-US" w:eastAsia="zh-CN" w:bidi="ar-SA"/>
        </w:rPr>
        <w:t>(见下表)</w:t>
      </w:r>
    </w:p>
    <w:p w14:paraId="5244FB0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672F96C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52D7400A">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110E3734">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357DCB1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318AE7C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173283EB">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4BB2C0E6">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仿宋" w:hAnsi="仿宋" w:eastAsia="仿宋" w:cs="仿宋"/>
          <w:sz w:val="24"/>
          <w:szCs w:val="24"/>
          <w:lang w:val="en-US" w:eastAsia="zh-CN" w:bidi="ar-SA"/>
        </w:rPr>
      </w:pPr>
    </w:p>
    <w:p w14:paraId="12B2E543">
      <w:pPr>
        <w:pStyle w:val="19"/>
        <w:rPr>
          <w:rFonts w:hint="default"/>
          <w:lang w:val="en-US" w:eastAsia="zh-CN"/>
        </w:rPr>
        <w:sectPr>
          <w:headerReference r:id="rId3" w:type="default"/>
          <w:footerReference r:id="rId4" w:type="default"/>
          <w:pgSz w:w="11906" w:h="16838"/>
          <w:pgMar w:top="567" w:right="1020" w:bottom="1134" w:left="567" w:header="851" w:footer="992" w:gutter="0"/>
          <w:cols w:space="425" w:num="1"/>
          <w:docGrid w:type="lines" w:linePitch="312" w:charSpace="0"/>
        </w:sectPr>
      </w:pPr>
    </w:p>
    <w:tbl>
      <w:tblPr>
        <w:tblStyle w:val="16"/>
        <w:tblW w:w="1431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262"/>
        <w:gridCol w:w="695"/>
        <w:gridCol w:w="5208"/>
        <w:gridCol w:w="595"/>
        <w:gridCol w:w="816"/>
      </w:tblGrid>
      <w:tr w14:paraId="71AF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40" w:type="dxa"/>
            <w:noWrap w:val="0"/>
            <w:vAlign w:val="center"/>
          </w:tcPr>
          <w:p w14:paraId="108F0C5A">
            <w:pPr>
              <w:jc w:val="center"/>
              <w:rPr>
                <w:rFonts w:hint="eastAsia"/>
              </w:rPr>
            </w:pPr>
            <w:r>
              <w:rPr>
                <w:rFonts w:hint="eastAsia"/>
              </w:rPr>
              <w:t>名称类别</w:t>
            </w:r>
          </w:p>
        </w:tc>
        <w:tc>
          <w:tcPr>
            <w:tcW w:w="5262" w:type="dxa"/>
            <w:noWrap w:val="0"/>
            <w:vAlign w:val="center"/>
          </w:tcPr>
          <w:p w14:paraId="452B06BA">
            <w:pPr>
              <w:jc w:val="center"/>
              <w:rPr>
                <w:rFonts w:hint="eastAsia"/>
              </w:rPr>
            </w:pPr>
            <w:r>
              <w:rPr>
                <w:rFonts w:hint="eastAsia"/>
              </w:rPr>
              <w:t>考核项目</w:t>
            </w:r>
          </w:p>
        </w:tc>
        <w:tc>
          <w:tcPr>
            <w:tcW w:w="695" w:type="dxa"/>
            <w:noWrap w:val="0"/>
            <w:vAlign w:val="center"/>
          </w:tcPr>
          <w:p w14:paraId="642F9BDA">
            <w:pPr>
              <w:jc w:val="center"/>
              <w:rPr>
                <w:rFonts w:hint="eastAsia"/>
              </w:rPr>
            </w:pPr>
            <w:r>
              <w:rPr>
                <w:rFonts w:hint="eastAsia"/>
              </w:rPr>
              <w:t>分值</w:t>
            </w:r>
          </w:p>
        </w:tc>
        <w:tc>
          <w:tcPr>
            <w:tcW w:w="5208" w:type="dxa"/>
            <w:noWrap w:val="0"/>
            <w:vAlign w:val="center"/>
          </w:tcPr>
          <w:p w14:paraId="5CFA2922">
            <w:pPr>
              <w:jc w:val="center"/>
              <w:rPr>
                <w:rFonts w:hint="eastAsia"/>
              </w:rPr>
            </w:pPr>
            <w:r>
              <w:rPr>
                <w:rFonts w:hint="eastAsia"/>
              </w:rPr>
              <w:t>考核标准</w:t>
            </w:r>
          </w:p>
        </w:tc>
        <w:tc>
          <w:tcPr>
            <w:tcW w:w="595" w:type="dxa"/>
            <w:noWrap w:val="0"/>
            <w:vAlign w:val="center"/>
          </w:tcPr>
          <w:p w14:paraId="7709E427">
            <w:pPr>
              <w:jc w:val="center"/>
              <w:rPr>
                <w:rFonts w:hint="eastAsia"/>
              </w:rPr>
            </w:pPr>
            <w:r>
              <w:rPr>
                <w:rFonts w:hint="eastAsia"/>
              </w:rPr>
              <w:t>得分</w:t>
            </w:r>
          </w:p>
        </w:tc>
        <w:tc>
          <w:tcPr>
            <w:tcW w:w="816" w:type="dxa"/>
            <w:noWrap w:val="0"/>
            <w:vAlign w:val="center"/>
          </w:tcPr>
          <w:p w14:paraId="3201D64E">
            <w:pPr>
              <w:jc w:val="center"/>
              <w:rPr>
                <w:rFonts w:hint="eastAsia"/>
              </w:rPr>
            </w:pPr>
            <w:r>
              <w:rPr>
                <w:rFonts w:hint="eastAsia"/>
              </w:rPr>
              <w:t>备注</w:t>
            </w:r>
          </w:p>
        </w:tc>
      </w:tr>
      <w:tr w14:paraId="45D0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40" w:type="dxa"/>
            <w:vMerge w:val="restart"/>
            <w:shd w:val="clear" w:color="auto" w:fill="auto"/>
            <w:noWrap w:val="0"/>
            <w:vAlign w:val="center"/>
          </w:tcPr>
          <w:p w14:paraId="0EA05A13">
            <w:pPr>
              <w:jc w:val="center"/>
              <w:rPr>
                <w:rFonts w:hint="eastAsia"/>
              </w:rPr>
            </w:pPr>
            <w:r>
              <w:rPr>
                <w:rFonts w:hint="eastAsia"/>
              </w:rPr>
              <w:t>一、基本条件</w:t>
            </w:r>
          </w:p>
        </w:tc>
        <w:tc>
          <w:tcPr>
            <w:tcW w:w="5262" w:type="dxa"/>
            <w:shd w:val="clear" w:color="auto" w:fill="auto"/>
            <w:noWrap w:val="0"/>
            <w:vAlign w:val="center"/>
          </w:tcPr>
          <w:p w14:paraId="69DFE780">
            <w:pPr>
              <w:rPr>
                <w:rFonts w:hint="eastAsia"/>
              </w:rPr>
            </w:pPr>
            <w:r>
              <w:rPr>
                <w:rFonts w:hint="eastAsia"/>
              </w:rPr>
              <w:t>电梯维保单位应取得相应资格的《许可证》。</w:t>
            </w:r>
          </w:p>
        </w:tc>
        <w:tc>
          <w:tcPr>
            <w:tcW w:w="695" w:type="dxa"/>
            <w:shd w:val="clear" w:color="auto" w:fill="auto"/>
            <w:noWrap w:val="0"/>
            <w:vAlign w:val="center"/>
          </w:tcPr>
          <w:p w14:paraId="7BCA2390">
            <w:pPr>
              <w:jc w:val="center"/>
              <w:rPr>
                <w:rFonts w:hint="eastAsia"/>
              </w:rPr>
            </w:pPr>
            <w:r>
              <w:rPr>
                <w:rFonts w:hint="eastAsia"/>
              </w:rPr>
              <w:t>2</w:t>
            </w:r>
          </w:p>
        </w:tc>
        <w:tc>
          <w:tcPr>
            <w:tcW w:w="5208" w:type="dxa"/>
            <w:noWrap w:val="0"/>
            <w:vAlign w:val="center"/>
          </w:tcPr>
          <w:p w14:paraId="479980FD">
            <w:pPr>
              <w:rPr>
                <w:rFonts w:hint="eastAsia"/>
              </w:rPr>
            </w:pPr>
            <w:r>
              <w:rPr>
                <w:rFonts w:hint="eastAsia"/>
              </w:rPr>
              <w:t>1.许可证应在有效期限内。</w:t>
            </w:r>
          </w:p>
          <w:p w14:paraId="758C6B49">
            <w:pPr>
              <w:rPr>
                <w:rFonts w:hint="eastAsia"/>
              </w:rPr>
            </w:pPr>
            <w:r>
              <w:rPr>
                <w:rFonts w:hint="eastAsia"/>
              </w:rPr>
              <w:t>2.所维保的电梯应在许可范围内。</w:t>
            </w:r>
          </w:p>
        </w:tc>
        <w:tc>
          <w:tcPr>
            <w:tcW w:w="595" w:type="dxa"/>
            <w:noWrap w:val="0"/>
            <w:vAlign w:val="center"/>
          </w:tcPr>
          <w:p w14:paraId="745BE33C">
            <w:pPr>
              <w:jc w:val="center"/>
              <w:rPr>
                <w:rFonts w:hint="eastAsia"/>
              </w:rPr>
            </w:pPr>
          </w:p>
        </w:tc>
        <w:tc>
          <w:tcPr>
            <w:tcW w:w="816" w:type="dxa"/>
            <w:noWrap w:val="0"/>
            <w:vAlign w:val="center"/>
          </w:tcPr>
          <w:p w14:paraId="514D1BF3">
            <w:pPr>
              <w:jc w:val="center"/>
              <w:rPr>
                <w:rFonts w:hint="eastAsia"/>
              </w:rPr>
            </w:pPr>
          </w:p>
        </w:tc>
      </w:tr>
      <w:tr w14:paraId="2AF9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40" w:type="dxa"/>
            <w:vMerge w:val="continue"/>
            <w:shd w:val="clear" w:color="auto" w:fill="auto"/>
            <w:noWrap w:val="0"/>
            <w:vAlign w:val="center"/>
          </w:tcPr>
          <w:p w14:paraId="4EAEA2D0">
            <w:pPr>
              <w:jc w:val="center"/>
              <w:rPr>
                <w:rFonts w:hint="eastAsia"/>
              </w:rPr>
            </w:pPr>
          </w:p>
        </w:tc>
        <w:tc>
          <w:tcPr>
            <w:tcW w:w="5262" w:type="dxa"/>
            <w:shd w:val="clear" w:color="auto" w:fill="auto"/>
            <w:noWrap w:val="0"/>
            <w:vAlign w:val="center"/>
          </w:tcPr>
          <w:p w14:paraId="7F019249">
            <w:pPr>
              <w:rPr>
                <w:rFonts w:hint="eastAsia"/>
              </w:rPr>
            </w:pPr>
            <w:r>
              <w:rPr>
                <w:rFonts w:hint="eastAsia"/>
              </w:rPr>
              <w:t>按照许可规则（A、B、C）的要求配齐电梯维保人员并持证上岗，且与维保业务量相应。</w:t>
            </w:r>
          </w:p>
        </w:tc>
        <w:tc>
          <w:tcPr>
            <w:tcW w:w="695" w:type="dxa"/>
            <w:shd w:val="clear" w:color="auto" w:fill="auto"/>
            <w:noWrap w:val="0"/>
            <w:vAlign w:val="center"/>
          </w:tcPr>
          <w:p w14:paraId="3FAB25EE">
            <w:pPr>
              <w:jc w:val="center"/>
              <w:rPr>
                <w:rFonts w:hint="eastAsia"/>
              </w:rPr>
            </w:pPr>
            <w:r>
              <w:rPr>
                <w:rFonts w:hint="eastAsia"/>
              </w:rPr>
              <w:t>2</w:t>
            </w:r>
          </w:p>
        </w:tc>
        <w:tc>
          <w:tcPr>
            <w:tcW w:w="5208" w:type="dxa"/>
            <w:noWrap w:val="0"/>
            <w:vAlign w:val="center"/>
          </w:tcPr>
          <w:p w14:paraId="390B9720">
            <w:pPr>
              <w:rPr>
                <w:rFonts w:hint="eastAsia"/>
              </w:rPr>
            </w:pPr>
            <w:r>
              <w:rPr>
                <w:rFonts w:hint="eastAsia"/>
              </w:rPr>
              <w:t>根据许可规则查验维保人员。</w:t>
            </w:r>
          </w:p>
        </w:tc>
        <w:tc>
          <w:tcPr>
            <w:tcW w:w="595" w:type="dxa"/>
            <w:noWrap w:val="0"/>
            <w:vAlign w:val="center"/>
          </w:tcPr>
          <w:p w14:paraId="00E19458">
            <w:pPr>
              <w:jc w:val="center"/>
              <w:rPr>
                <w:rFonts w:hint="eastAsia"/>
              </w:rPr>
            </w:pPr>
          </w:p>
        </w:tc>
        <w:tc>
          <w:tcPr>
            <w:tcW w:w="816" w:type="dxa"/>
            <w:noWrap w:val="0"/>
            <w:vAlign w:val="center"/>
          </w:tcPr>
          <w:p w14:paraId="01E824AA">
            <w:pPr>
              <w:jc w:val="center"/>
              <w:rPr>
                <w:rFonts w:hint="eastAsia"/>
              </w:rPr>
            </w:pPr>
          </w:p>
        </w:tc>
      </w:tr>
      <w:tr w14:paraId="5FFF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6E7DB3B1">
            <w:pPr>
              <w:jc w:val="center"/>
              <w:rPr>
                <w:rFonts w:hint="eastAsia"/>
              </w:rPr>
            </w:pPr>
          </w:p>
        </w:tc>
        <w:tc>
          <w:tcPr>
            <w:tcW w:w="5262" w:type="dxa"/>
            <w:shd w:val="clear" w:color="auto" w:fill="auto"/>
            <w:noWrap w:val="0"/>
            <w:vAlign w:val="center"/>
          </w:tcPr>
          <w:p w14:paraId="1CFB938A">
            <w:pPr>
              <w:rPr>
                <w:rFonts w:hint="eastAsia"/>
              </w:rPr>
            </w:pPr>
            <w:r>
              <w:rPr>
                <w:rFonts w:hint="eastAsia"/>
              </w:rPr>
              <w:t>电梯维保业务分包应按《电梯使用管理与维护保养规则》（TSG T5001-2009）要求签订质量控制合同。</w:t>
            </w:r>
          </w:p>
        </w:tc>
        <w:tc>
          <w:tcPr>
            <w:tcW w:w="695" w:type="dxa"/>
            <w:shd w:val="clear" w:color="auto" w:fill="auto"/>
            <w:noWrap w:val="0"/>
            <w:vAlign w:val="center"/>
          </w:tcPr>
          <w:p w14:paraId="0E711920">
            <w:pPr>
              <w:jc w:val="center"/>
              <w:rPr>
                <w:rFonts w:hint="eastAsia"/>
              </w:rPr>
            </w:pPr>
            <w:r>
              <w:rPr>
                <w:rFonts w:hint="eastAsia"/>
              </w:rPr>
              <w:t>2</w:t>
            </w:r>
          </w:p>
        </w:tc>
        <w:tc>
          <w:tcPr>
            <w:tcW w:w="5208" w:type="dxa"/>
            <w:noWrap w:val="0"/>
            <w:vAlign w:val="center"/>
          </w:tcPr>
          <w:p w14:paraId="5FBD1B7A">
            <w:pPr>
              <w:rPr>
                <w:rFonts w:hint="eastAsia"/>
              </w:rPr>
            </w:pPr>
            <w:r>
              <w:rPr>
                <w:rFonts w:hint="eastAsia"/>
              </w:rPr>
              <w:t>查看合同质量控制项目是否符合《电梯使用管理与维护保养规则》（TSG T5001-2009）要求。</w:t>
            </w:r>
          </w:p>
        </w:tc>
        <w:tc>
          <w:tcPr>
            <w:tcW w:w="595" w:type="dxa"/>
            <w:noWrap w:val="0"/>
            <w:vAlign w:val="center"/>
          </w:tcPr>
          <w:p w14:paraId="2032A6E9">
            <w:pPr>
              <w:jc w:val="center"/>
              <w:rPr>
                <w:rFonts w:hint="eastAsia"/>
              </w:rPr>
            </w:pPr>
          </w:p>
        </w:tc>
        <w:tc>
          <w:tcPr>
            <w:tcW w:w="816" w:type="dxa"/>
            <w:noWrap w:val="0"/>
            <w:vAlign w:val="center"/>
          </w:tcPr>
          <w:p w14:paraId="3F7D06D5">
            <w:pPr>
              <w:jc w:val="center"/>
              <w:rPr>
                <w:rFonts w:hint="eastAsia"/>
              </w:rPr>
            </w:pPr>
          </w:p>
        </w:tc>
      </w:tr>
      <w:tr w14:paraId="08A6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restart"/>
            <w:noWrap w:val="0"/>
            <w:vAlign w:val="center"/>
          </w:tcPr>
          <w:p w14:paraId="3790E531">
            <w:pPr>
              <w:jc w:val="center"/>
              <w:rPr>
                <w:rFonts w:hint="eastAsia"/>
              </w:rPr>
            </w:pPr>
            <w:r>
              <w:rPr>
                <w:rFonts w:hint="eastAsia"/>
              </w:rPr>
              <w:t>二、质保体系</w:t>
            </w:r>
          </w:p>
          <w:p w14:paraId="137C3EB7">
            <w:pPr>
              <w:jc w:val="center"/>
              <w:rPr>
                <w:rFonts w:hint="eastAsia"/>
              </w:rPr>
            </w:pPr>
          </w:p>
        </w:tc>
        <w:tc>
          <w:tcPr>
            <w:tcW w:w="5262" w:type="dxa"/>
            <w:noWrap w:val="0"/>
            <w:vAlign w:val="center"/>
          </w:tcPr>
          <w:p w14:paraId="3DA94AC8">
            <w:pPr>
              <w:rPr>
                <w:rFonts w:hint="eastAsia"/>
              </w:rPr>
            </w:pPr>
            <w:r>
              <w:rPr>
                <w:rFonts w:hint="eastAsia"/>
              </w:rPr>
              <w:t>维保单位应按照《特种设备制造、安装、改造、维修质量保证体系基本要求》（TSG Z0004-2007）的要求，建立质量保证体系。</w:t>
            </w:r>
          </w:p>
        </w:tc>
        <w:tc>
          <w:tcPr>
            <w:tcW w:w="695" w:type="dxa"/>
            <w:noWrap w:val="0"/>
            <w:vAlign w:val="center"/>
          </w:tcPr>
          <w:p w14:paraId="399F434D">
            <w:pPr>
              <w:jc w:val="center"/>
              <w:rPr>
                <w:rFonts w:hint="eastAsia"/>
              </w:rPr>
            </w:pPr>
            <w:r>
              <w:rPr>
                <w:rFonts w:hint="eastAsia"/>
              </w:rPr>
              <w:t>5</w:t>
            </w:r>
          </w:p>
        </w:tc>
        <w:tc>
          <w:tcPr>
            <w:tcW w:w="5208" w:type="dxa"/>
            <w:noWrap w:val="0"/>
            <w:vAlign w:val="center"/>
          </w:tcPr>
          <w:p w14:paraId="61AB4DDC">
            <w:pPr>
              <w:rPr>
                <w:rFonts w:hint="eastAsia"/>
              </w:rPr>
            </w:pPr>
            <w:r>
              <w:rPr>
                <w:rFonts w:hint="eastAsia"/>
              </w:rPr>
              <w:t>未按照《特种设备制造、安装、改造、维修质量保证体系基本要求》（TSG Z0004-2007）的要求，建立质量保证体系的扣5分。</w:t>
            </w:r>
          </w:p>
          <w:p w14:paraId="242E8DF0">
            <w:pPr>
              <w:rPr>
                <w:rFonts w:hint="eastAsia"/>
              </w:rPr>
            </w:pPr>
            <w:r>
              <w:rPr>
                <w:rFonts w:hint="eastAsia"/>
              </w:rPr>
              <w:t>已建立质量保证体系，但要素不全的扣1分。</w:t>
            </w:r>
          </w:p>
        </w:tc>
        <w:tc>
          <w:tcPr>
            <w:tcW w:w="595" w:type="dxa"/>
            <w:noWrap w:val="0"/>
            <w:vAlign w:val="center"/>
          </w:tcPr>
          <w:p w14:paraId="7C149D26">
            <w:pPr>
              <w:jc w:val="center"/>
              <w:rPr>
                <w:rFonts w:hint="eastAsia"/>
              </w:rPr>
            </w:pPr>
          </w:p>
        </w:tc>
        <w:tc>
          <w:tcPr>
            <w:tcW w:w="816" w:type="dxa"/>
            <w:noWrap w:val="0"/>
            <w:vAlign w:val="center"/>
          </w:tcPr>
          <w:p w14:paraId="16CA8184">
            <w:pPr>
              <w:jc w:val="center"/>
              <w:rPr>
                <w:rFonts w:hint="eastAsia"/>
              </w:rPr>
            </w:pPr>
          </w:p>
        </w:tc>
      </w:tr>
      <w:tr w14:paraId="19C5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noWrap w:val="0"/>
            <w:vAlign w:val="center"/>
          </w:tcPr>
          <w:p w14:paraId="0E8D8349">
            <w:pPr>
              <w:jc w:val="center"/>
              <w:rPr>
                <w:rFonts w:hint="eastAsia"/>
              </w:rPr>
            </w:pPr>
          </w:p>
        </w:tc>
        <w:tc>
          <w:tcPr>
            <w:tcW w:w="5262" w:type="dxa"/>
            <w:noWrap w:val="0"/>
            <w:vAlign w:val="center"/>
          </w:tcPr>
          <w:p w14:paraId="19CADD6E">
            <w:pPr>
              <w:rPr>
                <w:rFonts w:hint="eastAsia"/>
              </w:rPr>
            </w:pPr>
            <w:r>
              <w:rPr>
                <w:rFonts w:hint="eastAsia"/>
              </w:rPr>
              <w:t>维保单位应具备与业务项目相适应的设备、工具、计量器具和检验测试的仪器设备以及存放备品备件的场所。</w:t>
            </w:r>
          </w:p>
        </w:tc>
        <w:tc>
          <w:tcPr>
            <w:tcW w:w="695" w:type="dxa"/>
            <w:noWrap w:val="0"/>
            <w:vAlign w:val="center"/>
          </w:tcPr>
          <w:p w14:paraId="61F01A21">
            <w:pPr>
              <w:jc w:val="center"/>
              <w:rPr>
                <w:rFonts w:hint="eastAsia"/>
              </w:rPr>
            </w:pPr>
            <w:r>
              <w:rPr>
                <w:rFonts w:hint="eastAsia"/>
              </w:rPr>
              <w:t>2</w:t>
            </w:r>
          </w:p>
        </w:tc>
        <w:tc>
          <w:tcPr>
            <w:tcW w:w="5208" w:type="dxa"/>
            <w:noWrap w:val="0"/>
            <w:vAlign w:val="center"/>
          </w:tcPr>
          <w:p w14:paraId="0BB96D72">
            <w:pPr>
              <w:rPr>
                <w:rFonts w:hint="eastAsia"/>
              </w:rPr>
            </w:pPr>
            <w:r>
              <w:rPr>
                <w:rFonts w:hint="eastAsia"/>
              </w:rPr>
              <w:t>维保单位不具备与业务项目相适应的设备、工具、计量器具和检验测试设备以及计量器具和检验测试仪器设备超过有效期或失准的扣1分</w:t>
            </w:r>
          </w:p>
          <w:p w14:paraId="39DE05FF">
            <w:pPr>
              <w:rPr>
                <w:rFonts w:hint="eastAsia"/>
              </w:rPr>
            </w:pPr>
            <w:r>
              <w:rPr>
                <w:rFonts w:hint="eastAsia"/>
              </w:rPr>
              <w:t>维保单位无存放备品备件场所的扣1分。</w:t>
            </w:r>
          </w:p>
        </w:tc>
        <w:tc>
          <w:tcPr>
            <w:tcW w:w="595" w:type="dxa"/>
            <w:noWrap w:val="0"/>
            <w:vAlign w:val="center"/>
          </w:tcPr>
          <w:p w14:paraId="3B195FBA">
            <w:pPr>
              <w:jc w:val="center"/>
              <w:rPr>
                <w:rFonts w:hint="eastAsia"/>
              </w:rPr>
            </w:pPr>
          </w:p>
        </w:tc>
        <w:tc>
          <w:tcPr>
            <w:tcW w:w="816" w:type="dxa"/>
            <w:noWrap w:val="0"/>
            <w:vAlign w:val="center"/>
          </w:tcPr>
          <w:p w14:paraId="391CF68E">
            <w:pPr>
              <w:jc w:val="center"/>
              <w:rPr>
                <w:rFonts w:hint="eastAsia"/>
              </w:rPr>
            </w:pPr>
          </w:p>
        </w:tc>
      </w:tr>
      <w:tr w14:paraId="341F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0" w:type="dxa"/>
            <w:vMerge w:val="restart"/>
            <w:noWrap w:val="0"/>
            <w:vAlign w:val="center"/>
          </w:tcPr>
          <w:p w14:paraId="6003441E">
            <w:pPr>
              <w:jc w:val="center"/>
              <w:rPr>
                <w:rFonts w:hint="eastAsia"/>
              </w:rPr>
            </w:pPr>
            <w:r>
              <w:rPr>
                <w:rFonts w:hint="eastAsia"/>
              </w:rPr>
              <w:t>三、维保人员质量控制</w:t>
            </w:r>
          </w:p>
        </w:tc>
        <w:tc>
          <w:tcPr>
            <w:tcW w:w="5262" w:type="dxa"/>
            <w:noWrap w:val="0"/>
            <w:vAlign w:val="center"/>
          </w:tcPr>
          <w:p w14:paraId="39FA974C">
            <w:pPr>
              <w:rPr>
                <w:rFonts w:hint="eastAsia"/>
              </w:rPr>
            </w:pPr>
            <w:r>
              <w:rPr>
                <w:rFonts w:hint="eastAsia"/>
              </w:rPr>
              <w:t>维保作业人员应取得相应特种设备作业人员证。</w:t>
            </w:r>
          </w:p>
        </w:tc>
        <w:tc>
          <w:tcPr>
            <w:tcW w:w="695" w:type="dxa"/>
            <w:noWrap w:val="0"/>
            <w:vAlign w:val="center"/>
          </w:tcPr>
          <w:p w14:paraId="79845450">
            <w:pPr>
              <w:jc w:val="center"/>
              <w:rPr>
                <w:rFonts w:hint="eastAsia"/>
              </w:rPr>
            </w:pPr>
            <w:r>
              <w:rPr>
                <w:rFonts w:hint="eastAsia"/>
              </w:rPr>
              <w:t>10</w:t>
            </w:r>
          </w:p>
        </w:tc>
        <w:tc>
          <w:tcPr>
            <w:tcW w:w="5208" w:type="dxa"/>
            <w:noWrap w:val="0"/>
            <w:vAlign w:val="center"/>
          </w:tcPr>
          <w:p w14:paraId="76DC5C59">
            <w:pPr>
              <w:rPr>
                <w:rFonts w:hint="eastAsia"/>
              </w:rPr>
            </w:pPr>
            <w:r>
              <w:rPr>
                <w:rFonts w:hint="eastAsia"/>
              </w:rPr>
              <w:t>缺一张口5分，扣完为止（新工人以报名培训材料为准）。</w:t>
            </w:r>
          </w:p>
        </w:tc>
        <w:tc>
          <w:tcPr>
            <w:tcW w:w="595" w:type="dxa"/>
            <w:noWrap w:val="0"/>
            <w:vAlign w:val="center"/>
          </w:tcPr>
          <w:p w14:paraId="556C63C2">
            <w:pPr>
              <w:jc w:val="center"/>
              <w:rPr>
                <w:rFonts w:hint="eastAsia"/>
              </w:rPr>
            </w:pPr>
          </w:p>
        </w:tc>
        <w:tc>
          <w:tcPr>
            <w:tcW w:w="816" w:type="dxa"/>
            <w:noWrap w:val="0"/>
            <w:vAlign w:val="center"/>
          </w:tcPr>
          <w:p w14:paraId="32F47F14">
            <w:pPr>
              <w:jc w:val="center"/>
              <w:rPr>
                <w:rFonts w:hint="eastAsia"/>
              </w:rPr>
            </w:pPr>
          </w:p>
        </w:tc>
      </w:tr>
      <w:tr w14:paraId="424B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40" w:type="dxa"/>
            <w:vMerge w:val="continue"/>
            <w:noWrap w:val="0"/>
            <w:vAlign w:val="center"/>
          </w:tcPr>
          <w:p w14:paraId="0A273552">
            <w:pPr>
              <w:jc w:val="center"/>
              <w:rPr>
                <w:rFonts w:hint="eastAsia"/>
              </w:rPr>
            </w:pPr>
          </w:p>
        </w:tc>
        <w:tc>
          <w:tcPr>
            <w:tcW w:w="5262" w:type="dxa"/>
            <w:noWrap w:val="0"/>
            <w:vAlign w:val="center"/>
          </w:tcPr>
          <w:p w14:paraId="05694029">
            <w:pPr>
              <w:rPr>
                <w:rFonts w:hint="eastAsia"/>
              </w:rPr>
            </w:pPr>
            <w:r>
              <w:rPr>
                <w:rFonts w:hint="eastAsia"/>
              </w:rPr>
              <w:t>维保作业人员不得同时在两个维保公司执业。</w:t>
            </w:r>
          </w:p>
        </w:tc>
        <w:tc>
          <w:tcPr>
            <w:tcW w:w="695" w:type="dxa"/>
            <w:noWrap w:val="0"/>
            <w:vAlign w:val="center"/>
          </w:tcPr>
          <w:p w14:paraId="7C122668">
            <w:pPr>
              <w:jc w:val="center"/>
              <w:rPr>
                <w:rFonts w:hint="eastAsia"/>
              </w:rPr>
            </w:pPr>
            <w:r>
              <w:rPr>
                <w:rFonts w:hint="eastAsia"/>
              </w:rPr>
              <w:t>2</w:t>
            </w:r>
          </w:p>
        </w:tc>
        <w:tc>
          <w:tcPr>
            <w:tcW w:w="5208" w:type="dxa"/>
            <w:noWrap w:val="0"/>
            <w:vAlign w:val="center"/>
          </w:tcPr>
          <w:p w14:paraId="0909F62D">
            <w:pPr>
              <w:rPr>
                <w:rFonts w:hint="eastAsia"/>
              </w:rPr>
            </w:pPr>
            <w:r>
              <w:rPr>
                <w:rFonts w:hint="eastAsia"/>
              </w:rPr>
              <w:t>发现一个扣2分</w:t>
            </w:r>
          </w:p>
        </w:tc>
        <w:tc>
          <w:tcPr>
            <w:tcW w:w="595" w:type="dxa"/>
            <w:noWrap w:val="0"/>
            <w:vAlign w:val="center"/>
          </w:tcPr>
          <w:p w14:paraId="0FCD389E">
            <w:pPr>
              <w:jc w:val="center"/>
              <w:rPr>
                <w:rFonts w:hint="eastAsia"/>
              </w:rPr>
            </w:pPr>
          </w:p>
        </w:tc>
        <w:tc>
          <w:tcPr>
            <w:tcW w:w="816" w:type="dxa"/>
            <w:noWrap w:val="0"/>
            <w:vAlign w:val="center"/>
          </w:tcPr>
          <w:p w14:paraId="41A0E6EB">
            <w:pPr>
              <w:jc w:val="center"/>
              <w:rPr>
                <w:rFonts w:hint="eastAsia"/>
              </w:rPr>
            </w:pPr>
          </w:p>
        </w:tc>
      </w:tr>
      <w:tr w14:paraId="7BF6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0" w:type="dxa"/>
            <w:vMerge w:val="continue"/>
            <w:noWrap w:val="0"/>
            <w:vAlign w:val="center"/>
          </w:tcPr>
          <w:p w14:paraId="473BEE26">
            <w:pPr>
              <w:jc w:val="center"/>
              <w:rPr>
                <w:rFonts w:hint="eastAsia"/>
              </w:rPr>
            </w:pPr>
          </w:p>
        </w:tc>
        <w:tc>
          <w:tcPr>
            <w:tcW w:w="5262" w:type="dxa"/>
            <w:noWrap w:val="0"/>
            <w:vAlign w:val="center"/>
          </w:tcPr>
          <w:p w14:paraId="6F1E97E8">
            <w:pPr>
              <w:rPr>
                <w:rFonts w:hint="eastAsia"/>
              </w:rPr>
            </w:pPr>
            <w:r>
              <w:rPr>
                <w:rFonts w:hint="eastAsia"/>
              </w:rPr>
              <w:t>应配备两名专项维保检测人员，该人员应取得电梯检验证书。</w:t>
            </w:r>
          </w:p>
        </w:tc>
        <w:tc>
          <w:tcPr>
            <w:tcW w:w="695" w:type="dxa"/>
            <w:noWrap w:val="0"/>
            <w:vAlign w:val="center"/>
          </w:tcPr>
          <w:p w14:paraId="12CB4A3E">
            <w:pPr>
              <w:jc w:val="center"/>
              <w:rPr>
                <w:rFonts w:hint="eastAsia"/>
              </w:rPr>
            </w:pPr>
            <w:r>
              <w:rPr>
                <w:rFonts w:hint="eastAsia"/>
              </w:rPr>
              <w:t>2</w:t>
            </w:r>
          </w:p>
        </w:tc>
        <w:tc>
          <w:tcPr>
            <w:tcW w:w="5208" w:type="dxa"/>
            <w:noWrap w:val="0"/>
            <w:vAlign w:val="center"/>
          </w:tcPr>
          <w:p w14:paraId="7346A82F">
            <w:pPr>
              <w:rPr>
                <w:rFonts w:hint="eastAsia"/>
              </w:rPr>
            </w:pPr>
            <w:r>
              <w:rPr>
                <w:rFonts w:hint="eastAsia"/>
              </w:rPr>
              <w:t>查看作业人员证</w:t>
            </w:r>
          </w:p>
        </w:tc>
        <w:tc>
          <w:tcPr>
            <w:tcW w:w="595" w:type="dxa"/>
            <w:noWrap w:val="0"/>
            <w:vAlign w:val="center"/>
          </w:tcPr>
          <w:p w14:paraId="464EDE0D">
            <w:pPr>
              <w:jc w:val="center"/>
              <w:rPr>
                <w:rFonts w:hint="eastAsia"/>
              </w:rPr>
            </w:pPr>
          </w:p>
        </w:tc>
        <w:tc>
          <w:tcPr>
            <w:tcW w:w="816" w:type="dxa"/>
            <w:noWrap w:val="0"/>
            <w:vAlign w:val="center"/>
          </w:tcPr>
          <w:p w14:paraId="0DC5CC80">
            <w:pPr>
              <w:jc w:val="center"/>
              <w:rPr>
                <w:rFonts w:hint="eastAsia"/>
              </w:rPr>
            </w:pPr>
          </w:p>
        </w:tc>
      </w:tr>
      <w:tr w14:paraId="35C4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40" w:type="dxa"/>
            <w:vMerge w:val="continue"/>
            <w:shd w:val="clear" w:color="auto" w:fill="auto"/>
            <w:noWrap w:val="0"/>
            <w:vAlign w:val="center"/>
          </w:tcPr>
          <w:p w14:paraId="0153CB8B">
            <w:pPr>
              <w:jc w:val="center"/>
              <w:rPr>
                <w:rFonts w:hint="eastAsia"/>
              </w:rPr>
            </w:pPr>
          </w:p>
        </w:tc>
        <w:tc>
          <w:tcPr>
            <w:tcW w:w="5262" w:type="dxa"/>
            <w:noWrap w:val="0"/>
            <w:vAlign w:val="center"/>
          </w:tcPr>
          <w:p w14:paraId="166460C0">
            <w:pPr>
              <w:rPr>
                <w:rFonts w:hint="eastAsia"/>
              </w:rPr>
            </w:pPr>
            <w:r>
              <w:rPr>
                <w:rFonts w:hint="eastAsia"/>
              </w:rPr>
              <w:t>建立完整的维保台账和年度维保计划。</w:t>
            </w:r>
          </w:p>
        </w:tc>
        <w:tc>
          <w:tcPr>
            <w:tcW w:w="695" w:type="dxa"/>
            <w:noWrap w:val="0"/>
            <w:vAlign w:val="center"/>
          </w:tcPr>
          <w:p w14:paraId="4FDDFF76">
            <w:pPr>
              <w:jc w:val="center"/>
              <w:rPr>
                <w:rFonts w:hint="eastAsia"/>
              </w:rPr>
            </w:pPr>
            <w:r>
              <w:rPr>
                <w:rFonts w:hint="eastAsia"/>
              </w:rPr>
              <w:t>2</w:t>
            </w:r>
          </w:p>
        </w:tc>
        <w:tc>
          <w:tcPr>
            <w:tcW w:w="5208" w:type="dxa"/>
            <w:noWrap w:val="0"/>
            <w:vAlign w:val="center"/>
          </w:tcPr>
          <w:p w14:paraId="4121353D">
            <w:pPr>
              <w:rPr>
                <w:rFonts w:hint="eastAsia"/>
              </w:rPr>
            </w:pPr>
            <w:r>
              <w:rPr>
                <w:rFonts w:hint="eastAsia"/>
              </w:rPr>
              <w:t>缺一项扣1分</w:t>
            </w:r>
          </w:p>
        </w:tc>
        <w:tc>
          <w:tcPr>
            <w:tcW w:w="595" w:type="dxa"/>
            <w:noWrap w:val="0"/>
            <w:vAlign w:val="center"/>
          </w:tcPr>
          <w:p w14:paraId="6B7F2731">
            <w:pPr>
              <w:jc w:val="center"/>
              <w:rPr>
                <w:rFonts w:hint="eastAsia"/>
              </w:rPr>
            </w:pPr>
          </w:p>
        </w:tc>
        <w:tc>
          <w:tcPr>
            <w:tcW w:w="816" w:type="dxa"/>
            <w:noWrap w:val="0"/>
            <w:vAlign w:val="center"/>
          </w:tcPr>
          <w:p w14:paraId="6394C26D">
            <w:pPr>
              <w:jc w:val="center"/>
              <w:rPr>
                <w:rFonts w:hint="eastAsia"/>
              </w:rPr>
            </w:pPr>
          </w:p>
        </w:tc>
      </w:tr>
      <w:tr w14:paraId="5C39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40" w:type="dxa"/>
            <w:vMerge w:val="continue"/>
            <w:shd w:val="clear" w:color="auto" w:fill="auto"/>
            <w:noWrap w:val="0"/>
            <w:vAlign w:val="center"/>
          </w:tcPr>
          <w:p w14:paraId="3333254C">
            <w:pPr>
              <w:jc w:val="center"/>
              <w:rPr>
                <w:rFonts w:hint="eastAsia"/>
              </w:rPr>
            </w:pPr>
          </w:p>
        </w:tc>
        <w:tc>
          <w:tcPr>
            <w:tcW w:w="5262" w:type="dxa"/>
            <w:noWrap w:val="0"/>
            <w:vAlign w:val="center"/>
          </w:tcPr>
          <w:p w14:paraId="56E0C7AC">
            <w:pPr>
              <w:rPr>
                <w:rFonts w:hint="eastAsia"/>
              </w:rPr>
            </w:pPr>
            <w:r>
              <w:rPr>
                <w:rFonts w:hint="eastAsia"/>
              </w:rPr>
              <w:t>单位应在当地特种设备监察部门备案，检验业务应在许可资质范围内。</w:t>
            </w:r>
          </w:p>
        </w:tc>
        <w:tc>
          <w:tcPr>
            <w:tcW w:w="695" w:type="dxa"/>
            <w:noWrap w:val="0"/>
            <w:vAlign w:val="center"/>
          </w:tcPr>
          <w:p w14:paraId="04073005">
            <w:pPr>
              <w:jc w:val="center"/>
              <w:rPr>
                <w:rFonts w:hint="eastAsia"/>
              </w:rPr>
            </w:pPr>
            <w:r>
              <w:rPr>
                <w:rFonts w:hint="eastAsia"/>
              </w:rPr>
              <w:t>2</w:t>
            </w:r>
          </w:p>
        </w:tc>
        <w:tc>
          <w:tcPr>
            <w:tcW w:w="5208" w:type="dxa"/>
            <w:noWrap w:val="0"/>
            <w:vAlign w:val="center"/>
          </w:tcPr>
          <w:p w14:paraId="60A8318C">
            <w:pPr>
              <w:rPr>
                <w:rFonts w:hint="eastAsia"/>
              </w:rPr>
            </w:pPr>
            <w:r>
              <w:rPr>
                <w:rFonts w:hint="eastAsia"/>
              </w:rPr>
              <w:t>查看备案表</w:t>
            </w:r>
          </w:p>
        </w:tc>
        <w:tc>
          <w:tcPr>
            <w:tcW w:w="595" w:type="dxa"/>
            <w:noWrap w:val="0"/>
            <w:vAlign w:val="center"/>
          </w:tcPr>
          <w:p w14:paraId="299A5C25">
            <w:pPr>
              <w:jc w:val="center"/>
              <w:rPr>
                <w:rFonts w:hint="eastAsia"/>
              </w:rPr>
            </w:pPr>
          </w:p>
        </w:tc>
        <w:tc>
          <w:tcPr>
            <w:tcW w:w="816" w:type="dxa"/>
            <w:noWrap w:val="0"/>
            <w:vAlign w:val="center"/>
          </w:tcPr>
          <w:p w14:paraId="437EB743">
            <w:pPr>
              <w:jc w:val="center"/>
              <w:rPr>
                <w:rFonts w:hint="eastAsia"/>
              </w:rPr>
            </w:pPr>
          </w:p>
        </w:tc>
      </w:tr>
      <w:tr w14:paraId="7417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40" w:type="dxa"/>
            <w:vMerge w:val="continue"/>
            <w:shd w:val="clear" w:color="auto" w:fill="auto"/>
            <w:noWrap w:val="0"/>
            <w:vAlign w:val="center"/>
          </w:tcPr>
          <w:p w14:paraId="320C9422">
            <w:pPr>
              <w:jc w:val="center"/>
              <w:rPr>
                <w:rFonts w:hint="eastAsia"/>
              </w:rPr>
            </w:pPr>
          </w:p>
        </w:tc>
        <w:tc>
          <w:tcPr>
            <w:tcW w:w="5262" w:type="dxa"/>
            <w:noWrap w:val="0"/>
            <w:vAlign w:val="center"/>
          </w:tcPr>
          <w:p w14:paraId="4A0A8BC9">
            <w:pPr>
              <w:rPr>
                <w:rFonts w:hint="eastAsia"/>
              </w:rPr>
            </w:pPr>
            <w:r>
              <w:rPr>
                <w:rFonts w:hint="eastAsia"/>
              </w:rPr>
              <w:t>电梯应当至少每15日进行一次清洁润滑，调整和检查。</w:t>
            </w:r>
          </w:p>
        </w:tc>
        <w:tc>
          <w:tcPr>
            <w:tcW w:w="695" w:type="dxa"/>
            <w:noWrap w:val="0"/>
            <w:vAlign w:val="center"/>
          </w:tcPr>
          <w:p w14:paraId="132B63DC">
            <w:pPr>
              <w:jc w:val="center"/>
              <w:rPr>
                <w:rFonts w:hint="eastAsia"/>
              </w:rPr>
            </w:pPr>
            <w:r>
              <w:rPr>
                <w:rFonts w:hint="eastAsia"/>
              </w:rPr>
              <w:t>2</w:t>
            </w:r>
          </w:p>
        </w:tc>
        <w:tc>
          <w:tcPr>
            <w:tcW w:w="5208" w:type="dxa"/>
            <w:noWrap w:val="0"/>
            <w:vAlign w:val="center"/>
          </w:tcPr>
          <w:p w14:paraId="6ADE64CB">
            <w:pPr>
              <w:rPr>
                <w:rFonts w:hint="eastAsia"/>
              </w:rPr>
            </w:pPr>
            <w:r>
              <w:rPr>
                <w:rFonts w:hint="eastAsia"/>
              </w:rPr>
              <w:t>随机抽查维保清单</w:t>
            </w:r>
          </w:p>
        </w:tc>
        <w:tc>
          <w:tcPr>
            <w:tcW w:w="595" w:type="dxa"/>
            <w:noWrap w:val="0"/>
            <w:vAlign w:val="center"/>
          </w:tcPr>
          <w:p w14:paraId="7D08A7E4">
            <w:pPr>
              <w:jc w:val="center"/>
              <w:rPr>
                <w:rFonts w:hint="eastAsia"/>
              </w:rPr>
            </w:pPr>
          </w:p>
        </w:tc>
        <w:tc>
          <w:tcPr>
            <w:tcW w:w="816" w:type="dxa"/>
            <w:noWrap w:val="0"/>
            <w:vAlign w:val="center"/>
          </w:tcPr>
          <w:p w14:paraId="273DAF5D">
            <w:pPr>
              <w:jc w:val="center"/>
              <w:rPr>
                <w:rFonts w:hint="eastAsia"/>
              </w:rPr>
            </w:pPr>
          </w:p>
        </w:tc>
      </w:tr>
      <w:tr w14:paraId="4319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37193729">
            <w:pPr>
              <w:jc w:val="center"/>
              <w:rPr>
                <w:rFonts w:hint="eastAsia"/>
              </w:rPr>
            </w:pPr>
          </w:p>
        </w:tc>
        <w:tc>
          <w:tcPr>
            <w:tcW w:w="5262" w:type="dxa"/>
            <w:noWrap w:val="0"/>
            <w:vAlign w:val="center"/>
          </w:tcPr>
          <w:p w14:paraId="0C2EDEE1">
            <w:pPr>
              <w:rPr>
                <w:rFonts w:hint="eastAsia"/>
              </w:rPr>
            </w:pPr>
            <w:r>
              <w:rPr>
                <w:rFonts w:hint="eastAsia"/>
              </w:rPr>
              <w:t>应按照《电梯使用管理与维护保养规则》（TSG T5001-2009)的规定制定维保的记录或表式。记录的填写应及时、真实、规范。维保记录需有使用单位安全管理人员的签字确认。</w:t>
            </w:r>
          </w:p>
        </w:tc>
        <w:tc>
          <w:tcPr>
            <w:tcW w:w="695" w:type="dxa"/>
            <w:noWrap w:val="0"/>
            <w:vAlign w:val="center"/>
          </w:tcPr>
          <w:p w14:paraId="2A22BD06">
            <w:pPr>
              <w:jc w:val="center"/>
              <w:rPr>
                <w:rFonts w:hint="eastAsia"/>
              </w:rPr>
            </w:pPr>
            <w:r>
              <w:rPr>
                <w:rFonts w:hint="eastAsia"/>
              </w:rPr>
              <w:t>2</w:t>
            </w:r>
          </w:p>
        </w:tc>
        <w:tc>
          <w:tcPr>
            <w:tcW w:w="5208" w:type="dxa"/>
            <w:noWrap w:val="0"/>
            <w:vAlign w:val="center"/>
          </w:tcPr>
          <w:p w14:paraId="5C24937B">
            <w:pPr>
              <w:rPr>
                <w:rFonts w:hint="eastAsia"/>
              </w:rPr>
            </w:pPr>
            <w:r>
              <w:rPr>
                <w:rFonts w:hint="eastAsia"/>
              </w:rPr>
              <w:t>未制定表式扣1分</w:t>
            </w:r>
          </w:p>
          <w:p w14:paraId="4E92B4B0">
            <w:pPr>
              <w:rPr>
                <w:rFonts w:hint="eastAsia"/>
              </w:rPr>
            </w:pPr>
            <w:r>
              <w:rPr>
                <w:rFonts w:hint="eastAsia"/>
              </w:rPr>
              <w:t>示按要求填写扣1分</w:t>
            </w:r>
          </w:p>
        </w:tc>
        <w:tc>
          <w:tcPr>
            <w:tcW w:w="595" w:type="dxa"/>
            <w:noWrap w:val="0"/>
            <w:vAlign w:val="center"/>
          </w:tcPr>
          <w:p w14:paraId="5F93502B">
            <w:pPr>
              <w:jc w:val="center"/>
              <w:rPr>
                <w:rFonts w:hint="eastAsia"/>
              </w:rPr>
            </w:pPr>
          </w:p>
        </w:tc>
        <w:tc>
          <w:tcPr>
            <w:tcW w:w="816" w:type="dxa"/>
            <w:noWrap w:val="0"/>
            <w:vAlign w:val="center"/>
          </w:tcPr>
          <w:p w14:paraId="2CF99E98">
            <w:pPr>
              <w:jc w:val="center"/>
              <w:rPr>
                <w:rFonts w:hint="eastAsia"/>
              </w:rPr>
            </w:pPr>
          </w:p>
        </w:tc>
      </w:tr>
      <w:tr w14:paraId="002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40C7A45F">
            <w:pPr>
              <w:jc w:val="center"/>
              <w:rPr>
                <w:rFonts w:hint="eastAsia"/>
              </w:rPr>
            </w:pPr>
          </w:p>
        </w:tc>
        <w:tc>
          <w:tcPr>
            <w:tcW w:w="5262" w:type="dxa"/>
            <w:noWrap w:val="0"/>
            <w:vAlign w:val="center"/>
          </w:tcPr>
          <w:p w14:paraId="484DBA3D">
            <w:pPr>
              <w:rPr>
                <w:rFonts w:hint="eastAsia"/>
              </w:rPr>
            </w:pPr>
            <w:r>
              <w:rPr>
                <w:rFonts w:hint="eastAsia"/>
              </w:rPr>
              <w:t>应有抢修、急修的服务和设备，设立24小时维保值班电话，保证接到电话后迅速到达（市区内不超过30分钟，其他地区不超过1小时）。</w:t>
            </w:r>
          </w:p>
        </w:tc>
        <w:tc>
          <w:tcPr>
            <w:tcW w:w="695" w:type="dxa"/>
            <w:noWrap w:val="0"/>
            <w:vAlign w:val="center"/>
          </w:tcPr>
          <w:p w14:paraId="0D32079A">
            <w:pPr>
              <w:jc w:val="center"/>
              <w:rPr>
                <w:rFonts w:hint="eastAsia"/>
              </w:rPr>
            </w:pPr>
            <w:r>
              <w:rPr>
                <w:rFonts w:hint="eastAsia"/>
              </w:rPr>
              <w:t>2</w:t>
            </w:r>
          </w:p>
        </w:tc>
        <w:tc>
          <w:tcPr>
            <w:tcW w:w="5208" w:type="dxa"/>
            <w:noWrap w:val="0"/>
            <w:vAlign w:val="center"/>
          </w:tcPr>
          <w:p w14:paraId="0BCD9022">
            <w:pPr>
              <w:rPr>
                <w:rFonts w:hint="eastAsia"/>
              </w:rPr>
            </w:pPr>
            <w:r>
              <w:rPr>
                <w:rFonts w:hint="eastAsia"/>
              </w:rPr>
              <w:t>没有抢修、急修的服务和设备以及24小时值班电话、值班人员的各扣1分，扣完为止（对到达维保现场的时间，实行随机抽查）</w:t>
            </w:r>
          </w:p>
        </w:tc>
        <w:tc>
          <w:tcPr>
            <w:tcW w:w="595" w:type="dxa"/>
            <w:noWrap w:val="0"/>
            <w:vAlign w:val="center"/>
          </w:tcPr>
          <w:p w14:paraId="2A4B9753">
            <w:pPr>
              <w:jc w:val="center"/>
              <w:rPr>
                <w:rFonts w:hint="eastAsia"/>
              </w:rPr>
            </w:pPr>
          </w:p>
        </w:tc>
        <w:tc>
          <w:tcPr>
            <w:tcW w:w="816" w:type="dxa"/>
            <w:noWrap w:val="0"/>
            <w:vAlign w:val="center"/>
          </w:tcPr>
          <w:p w14:paraId="1B2BF45D">
            <w:pPr>
              <w:jc w:val="center"/>
              <w:rPr>
                <w:rFonts w:hint="eastAsia"/>
              </w:rPr>
            </w:pPr>
          </w:p>
        </w:tc>
      </w:tr>
      <w:tr w14:paraId="6B32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24950544">
            <w:pPr>
              <w:jc w:val="center"/>
              <w:rPr>
                <w:rFonts w:hint="eastAsia"/>
              </w:rPr>
            </w:pPr>
          </w:p>
        </w:tc>
        <w:tc>
          <w:tcPr>
            <w:tcW w:w="5262" w:type="dxa"/>
            <w:noWrap w:val="0"/>
            <w:vAlign w:val="center"/>
          </w:tcPr>
          <w:p w14:paraId="5DDCAE01">
            <w:pPr>
              <w:rPr>
                <w:rFonts w:hint="eastAsia"/>
              </w:rPr>
            </w:pPr>
            <w:r>
              <w:rPr>
                <w:rFonts w:hint="eastAsia"/>
              </w:rPr>
              <w:t>检验合格证应张贴于轿厢显著位置。</w:t>
            </w:r>
          </w:p>
        </w:tc>
        <w:tc>
          <w:tcPr>
            <w:tcW w:w="695" w:type="dxa"/>
            <w:noWrap w:val="0"/>
            <w:vAlign w:val="center"/>
          </w:tcPr>
          <w:p w14:paraId="348F5CA4">
            <w:pPr>
              <w:jc w:val="center"/>
              <w:rPr>
                <w:rFonts w:hint="eastAsia"/>
              </w:rPr>
            </w:pPr>
            <w:r>
              <w:rPr>
                <w:rFonts w:hint="eastAsia"/>
              </w:rPr>
              <w:t>10</w:t>
            </w:r>
          </w:p>
        </w:tc>
        <w:tc>
          <w:tcPr>
            <w:tcW w:w="5208" w:type="dxa"/>
            <w:noWrap w:val="0"/>
            <w:vAlign w:val="center"/>
          </w:tcPr>
          <w:p w14:paraId="77A4A786">
            <w:r>
              <w:rPr>
                <w:rFonts w:hint="eastAsia"/>
              </w:rPr>
              <w:t>随机抽查，每台扣5分，扣完为止</w:t>
            </w:r>
          </w:p>
        </w:tc>
        <w:tc>
          <w:tcPr>
            <w:tcW w:w="595" w:type="dxa"/>
            <w:noWrap w:val="0"/>
            <w:vAlign w:val="center"/>
          </w:tcPr>
          <w:p w14:paraId="52C3E438">
            <w:pPr>
              <w:jc w:val="center"/>
              <w:rPr>
                <w:rFonts w:hint="eastAsia"/>
              </w:rPr>
            </w:pPr>
          </w:p>
        </w:tc>
        <w:tc>
          <w:tcPr>
            <w:tcW w:w="816" w:type="dxa"/>
            <w:noWrap w:val="0"/>
            <w:vAlign w:val="center"/>
          </w:tcPr>
          <w:p w14:paraId="4B488FAA">
            <w:pPr>
              <w:jc w:val="center"/>
              <w:rPr>
                <w:rFonts w:hint="eastAsia"/>
              </w:rPr>
            </w:pPr>
          </w:p>
        </w:tc>
      </w:tr>
      <w:tr w14:paraId="4938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40" w:type="dxa"/>
            <w:vMerge w:val="continue"/>
            <w:shd w:val="clear" w:color="auto" w:fill="auto"/>
            <w:noWrap w:val="0"/>
            <w:vAlign w:val="center"/>
          </w:tcPr>
          <w:p w14:paraId="2EDAC4EB">
            <w:pPr>
              <w:jc w:val="center"/>
              <w:rPr>
                <w:rFonts w:hint="eastAsia"/>
              </w:rPr>
            </w:pPr>
          </w:p>
        </w:tc>
        <w:tc>
          <w:tcPr>
            <w:tcW w:w="5262" w:type="dxa"/>
            <w:noWrap w:val="0"/>
            <w:vAlign w:val="center"/>
          </w:tcPr>
          <w:p w14:paraId="0B3168D5">
            <w:pPr>
              <w:rPr>
                <w:rFonts w:hint="eastAsia"/>
              </w:rPr>
            </w:pPr>
            <w:r>
              <w:rPr>
                <w:rFonts w:hint="eastAsia"/>
              </w:rPr>
              <w:t>电梯轿厢内应设置报警装置，且固定可靠、保持畅通。</w:t>
            </w:r>
          </w:p>
        </w:tc>
        <w:tc>
          <w:tcPr>
            <w:tcW w:w="695" w:type="dxa"/>
            <w:noWrap w:val="0"/>
            <w:vAlign w:val="center"/>
          </w:tcPr>
          <w:p w14:paraId="138AA67B">
            <w:pPr>
              <w:jc w:val="center"/>
              <w:rPr>
                <w:rFonts w:hint="eastAsia"/>
              </w:rPr>
            </w:pPr>
            <w:r>
              <w:rPr>
                <w:rFonts w:hint="eastAsia"/>
              </w:rPr>
              <w:t>10</w:t>
            </w:r>
          </w:p>
        </w:tc>
        <w:tc>
          <w:tcPr>
            <w:tcW w:w="5208" w:type="dxa"/>
            <w:noWrap w:val="0"/>
            <w:vAlign w:val="center"/>
          </w:tcPr>
          <w:p w14:paraId="1B678F0E">
            <w:pPr>
              <w:rPr>
                <w:rFonts w:hint="eastAsia"/>
              </w:rPr>
            </w:pPr>
            <w:r>
              <w:rPr>
                <w:rFonts w:hint="eastAsia"/>
              </w:rPr>
              <w:t>随机抽查，每台扣5分，扣完为止</w:t>
            </w:r>
          </w:p>
        </w:tc>
        <w:tc>
          <w:tcPr>
            <w:tcW w:w="595" w:type="dxa"/>
            <w:noWrap w:val="0"/>
            <w:vAlign w:val="center"/>
          </w:tcPr>
          <w:p w14:paraId="4C9F88E1">
            <w:pPr>
              <w:jc w:val="center"/>
              <w:rPr>
                <w:rFonts w:hint="eastAsia"/>
              </w:rPr>
            </w:pPr>
          </w:p>
        </w:tc>
        <w:tc>
          <w:tcPr>
            <w:tcW w:w="816" w:type="dxa"/>
            <w:noWrap w:val="0"/>
            <w:vAlign w:val="center"/>
          </w:tcPr>
          <w:p w14:paraId="13AEC36C">
            <w:pPr>
              <w:jc w:val="center"/>
              <w:rPr>
                <w:rFonts w:hint="eastAsia"/>
              </w:rPr>
            </w:pPr>
          </w:p>
        </w:tc>
      </w:tr>
      <w:tr w14:paraId="0CCD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40" w:type="dxa"/>
            <w:vMerge w:val="continue"/>
            <w:shd w:val="clear" w:color="auto" w:fill="auto"/>
            <w:noWrap w:val="0"/>
            <w:vAlign w:val="center"/>
          </w:tcPr>
          <w:p w14:paraId="41B6092C">
            <w:pPr>
              <w:jc w:val="center"/>
              <w:rPr>
                <w:rFonts w:hint="eastAsia"/>
              </w:rPr>
            </w:pPr>
          </w:p>
        </w:tc>
        <w:tc>
          <w:tcPr>
            <w:tcW w:w="5262" w:type="dxa"/>
            <w:noWrap w:val="0"/>
            <w:vAlign w:val="center"/>
          </w:tcPr>
          <w:p w14:paraId="7BAFA3C3">
            <w:pPr>
              <w:rPr>
                <w:rFonts w:hint="eastAsia"/>
              </w:rPr>
            </w:pPr>
            <w:r>
              <w:rPr>
                <w:rFonts w:hint="eastAsia"/>
              </w:rPr>
              <w:t>乘用电梯安全须知、维保单位名称和急修、投诉电话应置于轿厢的显著位置。</w:t>
            </w:r>
          </w:p>
        </w:tc>
        <w:tc>
          <w:tcPr>
            <w:tcW w:w="695" w:type="dxa"/>
            <w:noWrap w:val="0"/>
            <w:vAlign w:val="center"/>
          </w:tcPr>
          <w:p w14:paraId="4F9E6983">
            <w:pPr>
              <w:jc w:val="center"/>
              <w:rPr>
                <w:rFonts w:hint="eastAsia"/>
              </w:rPr>
            </w:pPr>
            <w:r>
              <w:rPr>
                <w:rFonts w:hint="eastAsia"/>
              </w:rPr>
              <w:t>8</w:t>
            </w:r>
          </w:p>
        </w:tc>
        <w:tc>
          <w:tcPr>
            <w:tcW w:w="5208" w:type="dxa"/>
            <w:noWrap w:val="0"/>
            <w:vAlign w:val="center"/>
          </w:tcPr>
          <w:p w14:paraId="5E7FA522">
            <w:pPr>
              <w:rPr>
                <w:rFonts w:hint="eastAsia"/>
              </w:rPr>
            </w:pPr>
            <w:r>
              <w:rPr>
                <w:rFonts w:hint="eastAsia"/>
              </w:rPr>
              <w:t>随机抽查，每台扣4分，扣完为止</w:t>
            </w:r>
          </w:p>
        </w:tc>
        <w:tc>
          <w:tcPr>
            <w:tcW w:w="595" w:type="dxa"/>
            <w:noWrap w:val="0"/>
            <w:vAlign w:val="center"/>
          </w:tcPr>
          <w:p w14:paraId="0DEAAA30">
            <w:pPr>
              <w:jc w:val="center"/>
              <w:rPr>
                <w:rFonts w:hint="eastAsia"/>
              </w:rPr>
            </w:pPr>
          </w:p>
        </w:tc>
        <w:tc>
          <w:tcPr>
            <w:tcW w:w="816" w:type="dxa"/>
            <w:noWrap w:val="0"/>
            <w:vAlign w:val="center"/>
          </w:tcPr>
          <w:p w14:paraId="3FEA32C8">
            <w:pPr>
              <w:jc w:val="center"/>
              <w:rPr>
                <w:rFonts w:hint="eastAsia"/>
              </w:rPr>
            </w:pPr>
          </w:p>
        </w:tc>
      </w:tr>
      <w:tr w14:paraId="30E8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0A33F9B5">
            <w:pPr>
              <w:jc w:val="center"/>
              <w:rPr>
                <w:rFonts w:hint="eastAsia"/>
              </w:rPr>
            </w:pPr>
          </w:p>
        </w:tc>
        <w:tc>
          <w:tcPr>
            <w:tcW w:w="5262" w:type="dxa"/>
            <w:noWrap w:val="0"/>
            <w:vAlign w:val="center"/>
          </w:tcPr>
          <w:p w14:paraId="37A0167C">
            <w:pPr>
              <w:rPr>
                <w:rFonts w:hint="eastAsia"/>
              </w:rPr>
            </w:pPr>
            <w:r>
              <w:rPr>
                <w:rFonts w:hint="eastAsia"/>
              </w:rPr>
              <w:t>实施维保作业的现场应在明显位置放置表明正在作业的警示标志及安全护栏。</w:t>
            </w:r>
          </w:p>
        </w:tc>
        <w:tc>
          <w:tcPr>
            <w:tcW w:w="695" w:type="dxa"/>
            <w:noWrap w:val="0"/>
            <w:vAlign w:val="center"/>
          </w:tcPr>
          <w:p w14:paraId="72C7C1E6">
            <w:pPr>
              <w:jc w:val="center"/>
              <w:rPr>
                <w:rFonts w:hint="eastAsia"/>
              </w:rPr>
            </w:pPr>
            <w:r>
              <w:rPr>
                <w:rFonts w:hint="eastAsia"/>
              </w:rPr>
              <w:t>4</w:t>
            </w:r>
          </w:p>
        </w:tc>
        <w:tc>
          <w:tcPr>
            <w:tcW w:w="5208" w:type="dxa"/>
            <w:noWrap w:val="0"/>
            <w:vAlign w:val="center"/>
          </w:tcPr>
          <w:p w14:paraId="6F0DC39B">
            <w:pPr>
              <w:rPr>
                <w:rFonts w:hint="eastAsia"/>
              </w:rPr>
            </w:pPr>
            <w:r>
              <w:rPr>
                <w:rFonts w:hint="eastAsia"/>
              </w:rPr>
              <w:t>随机抽查，每台扣2分，扣完为止</w:t>
            </w:r>
          </w:p>
        </w:tc>
        <w:tc>
          <w:tcPr>
            <w:tcW w:w="595" w:type="dxa"/>
            <w:noWrap w:val="0"/>
            <w:vAlign w:val="center"/>
          </w:tcPr>
          <w:p w14:paraId="0DD764D8">
            <w:pPr>
              <w:jc w:val="center"/>
              <w:rPr>
                <w:rFonts w:hint="eastAsia"/>
              </w:rPr>
            </w:pPr>
          </w:p>
        </w:tc>
        <w:tc>
          <w:tcPr>
            <w:tcW w:w="816" w:type="dxa"/>
            <w:noWrap w:val="0"/>
            <w:vAlign w:val="center"/>
          </w:tcPr>
          <w:p w14:paraId="302F05E0">
            <w:pPr>
              <w:jc w:val="center"/>
              <w:rPr>
                <w:rFonts w:hint="eastAsia"/>
              </w:rPr>
            </w:pPr>
          </w:p>
        </w:tc>
      </w:tr>
      <w:tr w14:paraId="6CFE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5E2A9852">
            <w:pPr>
              <w:jc w:val="center"/>
              <w:rPr>
                <w:rFonts w:hint="eastAsia"/>
              </w:rPr>
            </w:pPr>
          </w:p>
        </w:tc>
        <w:tc>
          <w:tcPr>
            <w:tcW w:w="5262" w:type="dxa"/>
            <w:noWrap w:val="0"/>
            <w:vAlign w:val="center"/>
          </w:tcPr>
          <w:p w14:paraId="18D7C9C7">
            <w:pPr>
              <w:rPr>
                <w:rFonts w:hint="eastAsia"/>
              </w:rPr>
            </w:pPr>
            <w:r>
              <w:rPr>
                <w:rFonts w:hint="eastAsia"/>
              </w:rPr>
              <w:t>应按照《电梯使用管理与维护保养规则》（TSG T5001---2009)的要求进行电梯的半月、季度、半年、年度维保工作。</w:t>
            </w:r>
          </w:p>
        </w:tc>
        <w:tc>
          <w:tcPr>
            <w:tcW w:w="695" w:type="dxa"/>
            <w:noWrap w:val="0"/>
            <w:vAlign w:val="center"/>
          </w:tcPr>
          <w:p w14:paraId="68929115">
            <w:pPr>
              <w:jc w:val="center"/>
              <w:rPr>
                <w:rFonts w:hint="eastAsia"/>
              </w:rPr>
            </w:pPr>
            <w:r>
              <w:rPr>
                <w:rFonts w:hint="eastAsia"/>
              </w:rPr>
              <w:t>3</w:t>
            </w:r>
          </w:p>
        </w:tc>
        <w:tc>
          <w:tcPr>
            <w:tcW w:w="5208" w:type="dxa"/>
            <w:noWrap w:val="0"/>
            <w:vAlign w:val="center"/>
          </w:tcPr>
          <w:p w14:paraId="4EF120C5">
            <w:pPr>
              <w:rPr>
                <w:rFonts w:hint="eastAsia"/>
              </w:rPr>
            </w:pPr>
            <w:r>
              <w:rPr>
                <w:rFonts w:hint="eastAsia"/>
              </w:rPr>
              <w:t>有一次未按规定时间和要求进行维保的扣1分，扣完为止，每缺一次维保记录的扣1分，扣完为止</w:t>
            </w:r>
          </w:p>
        </w:tc>
        <w:tc>
          <w:tcPr>
            <w:tcW w:w="595" w:type="dxa"/>
            <w:noWrap w:val="0"/>
            <w:vAlign w:val="center"/>
          </w:tcPr>
          <w:p w14:paraId="6AF39F38">
            <w:pPr>
              <w:jc w:val="center"/>
              <w:rPr>
                <w:rFonts w:hint="eastAsia"/>
              </w:rPr>
            </w:pPr>
          </w:p>
        </w:tc>
        <w:tc>
          <w:tcPr>
            <w:tcW w:w="816" w:type="dxa"/>
            <w:noWrap w:val="0"/>
            <w:vAlign w:val="center"/>
          </w:tcPr>
          <w:p w14:paraId="05D543A9">
            <w:pPr>
              <w:jc w:val="center"/>
              <w:rPr>
                <w:rFonts w:hint="eastAsia"/>
              </w:rPr>
            </w:pPr>
          </w:p>
        </w:tc>
      </w:tr>
      <w:tr w14:paraId="2F2F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403D963C">
            <w:pPr>
              <w:jc w:val="center"/>
              <w:rPr>
                <w:rFonts w:hint="eastAsia"/>
              </w:rPr>
            </w:pPr>
          </w:p>
        </w:tc>
        <w:tc>
          <w:tcPr>
            <w:tcW w:w="5262" w:type="dxa"/>
            <w:noWrap w:val="0"/>
            <w:vAlign w:val="center"/>
          </w:tcPr>
          <w:p w14:paraId="660800BF">
            <w:pPr>
              <w:rPr>
                <w:rFonts w:hint="eastAsia"/>
              </w:rPr>
            </w:pPr>
            <w:r>
              <w:rPr>
                <w:rFonts w:hint="eastAsia"/>
              </w:rPr>
              <w:t>每年应在规定时间内为每台电梯在当地特检院申报年检并提供齐全的申报资料。</w:t>
            </w:r>
          </w:p>
        </w:tc>
        <w:tc>
          <w:tcPr>
            <w:tcW w:w="695" w:type="dxa"/>
            <w:noWrap w:val="0"/>
            <w:vAlign w:val="center"/>
          </w:tcPr>
          <w:p w14:paraId="177B64D3">
            <w:pPr>
              <w:jc w:val="center"/>
              <w:rPr>
                <w:rFonts w:hint="eastAsia"/>
              </w:rPr>
            </w:pPr>
            <w:r>
              <w:rPr>
                <w:rFonts w:hint="eastAsia"/>
              </w:rPr>
              <w:t>3</w:t>
            </w:r>
          </w:p>
        </w:tc>
        <w:tc>
          <w:tcPr>
            <w:tcW w:w="5208" w:type="dxa"/>
            <w:noWrap w:val="0"/>
            <w:vAlign w:val="center"/>
          </w:tcPr>
          <w:p w14:paraId="0267732A">
            <w:pPr>
              <w:rPr>
                <w:rFonts w:hint="eastAsia"/>
              </w:rPr>
            </w:pPr>
          </w:p>
        </w:tc>
        <w:tc>
          <w:tcPr>
            <w:tcW w:w="595" w:type="dxa"/>
            <w:noWrap w:val="0"/>
            <w:vAlign w:val="center"/>
          </w:tcPr>
          <w:p w14:paraId="1ACA6636">
            <w:pPr>
              <w:jc w:val="center"/>
              <w:rPr>
                <w:rFonts w:hint="eastAsia"/>
              </w:rPr>
            </w:pPr>
          </w:p>
        </w:tc>
        <w:tc>
          <w:tcPr>
            <w:tcW w:w="816" w:type="dxa"/>
            <w:noWrap w:val="0"/>
            <w:vAlign w:val="center"/>
          </w:tcPr>
          <w:p w14:paraId="57ADB391">
            <w:pPr>
              <w:jc w:val="center"/>
              <w:rPr>
                <w:rFonts w:hint="eastAsia"/>
              </w:rPr>
            </w:pPr>
          </w:p>
        </w:tc>
      </w:tr>
      <w:tr w14:paraId="7153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40" w:type="dxa"/>
            <w:vMerge w:val="restart"/>
            <w:shd w:val="clear" w:color="auto" w:fill="auto"/>
            <w:noWrap w:val="0"/>
            <w:vAlign w:val="center"/>
          </w:tcPr>
          <w:p w14:paraId="118E62C6">
            <w:pPr>
              <w:jc w:val="center"/>
              <w:rPr>
                <w:rFonts w:hint="eastAsia"/>
              </w:rPr>
            </w:pPr>
            <w:r>
              <w:rPr>
                <w:rFonts w:hint="eastAsia"/>
              </w:rPr>
              <w:t>四、日常使用</w:t>
            </w:r>
          </w:p>
        </w:tc>
        <w:tc>
          <w:tcPr>
            <w:tcW w:w="5262" w:type="dxa"/>
            <w:noWrap w:val="0"/>
            <w:vAlign w:val="center"/>
          </w:tcPr>
          <w:p w14:paraId="19D79CAA">
            <w:pPr>
              <w:rPr>
                <w:rFonts w:hint="eastAsia"/>
              </w:rPr>
            </w:pPr>
            <w:r>
              <w:rPr>
                <w:rFonts w:hint="eastAsia"/>
              </w:rPr>
              <w:t>电梯机房滑轮间环境</w:t>
            </w:r>
          </w:p>
        </w:tc>
        <w:tc>
          <w:tcPr>
            <w:tcW w:w="695" w:type="dxa"/>
            <w:noWrap w:val="0"/>
            <w:vAlign w:val="center"/>
          </w:tcPr>
          <w:p w14:paraId="276D6F37">
            <w:pPr>
              <w:jc w:val="center"/>
              <w:rPr>
                <w:rFonts w:hint="eastAsia"/>
              </w:rPr>
            </w:pPr>
            <w:r>
              <w:rPr>
                <w:rFonts w:hint="eastAsia"/>
              </w:rPr>
              <w:t>1</w:t>
            </w:r>
          </w:p>
        </w:tc>
        <w:tc>
          <w:tcPr>
            <w:tcW w:w="5208" w:type="dxa"/>
            <w:noWrap w:val="0"/>
            <w:vAlign w:val="center"/>
          </w:tcPr>
          <w:p w14:paraId="13EAACB7">
            <w:pPr>
              <w:rPr>
                <w:rFonts w:hint="eastAsia"/>
              </w:rPr>
            </w:pPr>
            <w:r>
              <w:rPr>
                <w:rFonts w:hint="eastAsia"/>
              </w:rPr>
              <w:t>卫生照明不达标扣1分</w:t>
            </w:r>
          </w:p>
        </w:tc>
        <w:tc>
          <w:tcPr>
            <w:tcW w:w="595" w:type="dxa"/>
            <w:noWrap w:val="0"/>
            <w:vAlign w:val="center"/>
          </w:tcPr>
          <w:p w14:paraId="77D3BEA1">
            <w:pPr>
              <w:jc w:val="center"/>
              <w:rPr>
                <w:rFonts w:hint="eastAsia"/>
              </w:rPr>
            </w:pPr>
          </w:p>
        </w:tc>
        <w:tc>
          <w:tcPr>
            <w:tcW w:w="816" w:type="dxa"/>
            <w:noWrap w:val="0"/>
            <w:vAlign w:val="center"/>
          </w:tcPr>
          <w:p w14:paraId="762B8197">
            <w:pPr>
              <w:jc w:val="center"/>
              <w:rPr>
                <w:rFonts w:hint="eastAsia"/>
              </w:rPr>
            </w:pPr>
          </w:p>
        </w:tc>
      </w:tr>
      <w:tr w14:paraId="7CDC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40" w:type="dxa"/>
            <w:vMerge w:val="continue"/>
            <w:shd w:val="clear" w:color="auto" w:fill="auto"/>
            <w:noWrap w:val="0"/>
            <w:vAlign w:val="center"/>
          </w:tcPr>
          <w:p w14:paraId="4061CEAC">
            <w:pPr>
              <w:jc w:val="center"/>
              <w:rPr>
                <w:rFonts w:hint="eastAsia"/>
              </w:rPr>
            </w:pPr>
          </w:p>
        </w:tc>
        <w:tc>
          <w:tcPr>
            <w:tcW w:w="5262" w:type="dxa"/>
            <w:noWrap w:val="0"/>
            <w:vAlign w:val="center"/>
          </w:tcPr>
          <w:p w14:paraId="1DDD3942">
            <w:pPr>
              <w:rPr>
                <w:rFonts w:hint="eastAsia"/>
              </w:rPr>
            </w:pPr>
            <w:r>
              <w:rPr>
                <w:rFonts w:hint="eastAsia"/>
              </w:rPr>
              <w:t>电梯主机</w:t>
            </w:r>
          </w:p>
        </w:tc>
        <w:tc>
          <w:tcPr>
            <w:tcW w:w="695" w:type="dxa"/>
            <w:noWrap w:val="0"/>
            <w:vAlign w:val="center"/>
          </w:tcPr>
          <w:p w14:paraId="54637289">
            <w:pPr>
              <w:jc w:val="center"/>
              <w:rPr>
                <w:rFonts w:hint="eastAsia"/>
              </w:rPr>
            </w:pPr>
            <w:r>
              <w:rPr>
                <w:rFonts w:hint="eastAsia"/>
              </w:rPr>
              <w:t>4</w:t>
            </w:r>
          </w:p>
        </w:tc>
        <w:tc>
          <w:tcPr>
            <w:tcW w:w="5208" w:type="dxa"/>
            <w:noWrap w:val="0"/>
            <w:vAlign w:val="center"/>
          </w:tcPr>
          <w:p w14:paraId="6C10C965">
            <w:pPr>
              <w:rPr>
                <w:rFonts w:hint="eastAsia"/>
              </w:rPr>
            </w:pPr>
            <w:r>
              <w:rPr>
                <w:rFonts w:hint="eastAsia"/>
              </w:rPr>
              <w:t>运行时应无异常的振动和异响否则口4分</w:t>
            </w:r>
          </w:p>
        </w:tc>
        <w:tc>
          <w:tcPr>
            <w:tcW w:w="595" w:type="dxa"/>
            <w:noWrap w:val="0"/>
            <w:vAlign w:val="center"/>
          </w:tcPr>
          <w:p w14:paraId="497F8760">
            <w:pPr>
              <w:jc w:val="center"/>
              <w:rPr>
                <w:rFonts w:hint="eastAsia"/>
              </w:rPr>
            </w:pPr>
          </w:p>
        </w:tc>
        <w:tc>
          <w:tcPr>
            <w:tcW w:w="816" w:type="dxa"/>
            <w:noWrap w:val="0"/>
            <w:vAlign w:val="center"/>
          </w:tcPr>
          <w:p w14:paraId="63CAD1EA">
            <w:pPr>
              <w:jc w:val="center"/>
              <w:rPr>
                <w:rFonts w:hint="eastAsia"/>
              </w:rPr>
            </w:pPr>
          </w:p>
        </w:tc>
      </w:tr>
      <w:tr w14:paraId="1093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40" w:type="dxa"/>
            <w:vMerge w:val="continue"/>
            <w:shd w:val="clear" w:color="auto" w:fill="auto"/>
            <w:noWrap w:val="0"/>
            <w:vAlign w:val="center"/>
          </w:tcPr>
          <w:p w14:paraId="5A23CFE1">
            <w:pPr>
              <w:jc w:val="center"/>
              <w:rPr>
                <w:rFonts w:hint="eastAsia"/>
              </w:rPr>
            </w:pPr>
          </w:p>
        </w:tc>
        <w:tc>
          <w:tcPr>
            <w:tcW w:w="5262" w:type="dxa"/>
            <w:noWrap w:val="0"/>
            <w:vAlign w:val="center"/>
          </w:tcPr>
          <w:p w14:paraId="0F62BF73">
            <w:pPr>
              <w:rPr>
                <w:rFonts w:hint="eastAsia"/>
              </w:rPr>
            </w:pPr>
            <w:r>
              <w:rPr>
                <w:rFonts w:hint="eastAsia"/>
              </w:rPr>
              <w:t>层门和电梯的轿门</w:t>
            </w:r>
          </w:p>
        </w:tc>
        <w:tc>
          <w:tcPr>
            <w:tcW w:w="695" w:type="dxa"/>
            <w:noWrap w:val="0"/>
            <w:vAlign w:val="center"/>
          </w:tcPr>
          <w:p w14:paraId="37312BD2">
            <w:pPr>
              <w:jc w:val="center"/>
              <w:rPr>
                <w:rFonts w:hint="eastAsia"/>
              </w:rPr>
            </w:pPr>
            <w:r>
              <w:t>2</w:t>
            </w:r>
          </w:p>
        </w:tc>
        <w:tc>
          <w:tcPr>
            <w:tcW w:w="5208" w:type="dxa"/>
            <w:noWrap w:val="0"/>
            <w:vAlign w:val="center"/>
          </w:tcPr>
          <w:p w14:paraId="23D6A357">
            <w:pPr>
              <w:rPr>
                <w:rFonts w:hint="eastAsia"/>
              </w:rPr>
            </w:pPr>
            <w:r>
              <w:rPr>
                <w:rFonts w:hint="eastAsia"/>
              </w:rPr>
              <w:t>开关不正常扣2分</w:t>
            </w:r>
          </w:p>
        </w:tc>
        <w:tc>
          <w:tcPr>
            <w:tcW w:w="595" w:type="dxa"/>
            <w:noWrap w:val="0"/>
            <w:vAlign w:val="center"/>
          </w:tcPr>
          <w:p w14:paraId="32507E6E">
            <w:pPr>
              <w:jc w:val="center"/>
              <w:rPr>
                <w:rFonts w:hint="eastAsia"/>
              </w:rPr>
            </w:pPr>
          </w:p>
        </w:tc>
        <w:tc>
          <w:tcPr>
            <w:tcW w:w="816" w:type="dxa"/>
            <w:noWrap w:val="0"/>
            <w:vAlign w:val="center"/>
          </w:tcPr>
          <w:p w14:paraId="1C3DCA6E">
            <w:pPr>
              <w:jc w:val="center"/>
              <w:rPr>
                <w:rFonts w:hint="eastAsia"/>
              </w:rPr>
            </w:pPr>
          </w:p>
        </w:tc>
      </w:tr>
      <w:tr w14:paraId="580F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40" w:type="dxa"/>
            <w:vMerge w:val="continue"/>
            <w:shd w:val="clear" w:color="auto" w:fill="auto"/>
            <w:noWrap w:val="0"/>
            <w:vAlign w:val="center"/>
          </w:tcPr>
          <w:p w14:paraId="53B16CF9">
            <w:pPr>
              <w:jc w:val="center"/>
              <w:rPr>
                <w:rFonts w:hint="eastAsia"/>
              </w:rPr>
            </w:pPr>
          </w:p>
        </w:tc>
        <w:tc>
          <w:tcPr>
            <w:tcW w:w="5262" w:type="dxa"/>
            <w:noWrap w:val="0"/>
            <w:vAlign w:val="center"/>
          </w:tcPr>
          <w:p w14:paraId="7C25E9D3">
            <w:pPr>
              <w:rPr>
                <w:rFonts w:hint="eastAsia"/>
              </w:rPr>
            </w:pPr>
            <w:r>
              <w:rPr>
                <w:rFonts w:hint="eastAsia"/>
              </w:rPr>
              <w:t>层站召唤、层楼显示、按键、各楼层显示</w:t>
            </w:r>
          </w:p>
        </w:tc>
        <w:tc>
          <w:tcPr>
            <w:tcW w:w="695" w:type="dxa"/>
            <w:noWrap w:val="0"/>
            <w:vAlign w:val="center"/>
          </w:tcPr>
          <w:p w14:paraId="2F05A9AC">
            <w:pPr>
              <w:jc w:val="center"/>
              <w:rPr>
                <w:rFonts w:hint="eastAsia"/>
              </w:rPr>
            </w:pPr>
            <w:r>
              <w:rPr>
                <w:rFonts w:hint="eastAsia"/>
              </w:rPr>
              <w:t>8</w:t>
            </w:r>
          </w:p>
        </w:tc>
        <w:tc>
          <w:tcPr>
            <w:tcW w:w="5208" w:type="dxa"/>
            <w:noWrap w:val="0"/>
            <w:vAlign w:val="center"/>
          </w:tcPr>
          <w:p w14:paraId="4931A31A">
            <w:pPr>
              <w:rPr>
                <w:rFonts w:hint="eastAsia"/>
              </w:rPr>
            </w:pPr>
            <w:r>
              <w:rPr>
                <w:rFonts w:hint="eastAsia"/>
              </w:rPr>
              <w:t>每一项不正常扣2分扣完为止</w:t>
            </w:r>
          </w:p>
        </w:tc>
        <w:tc>
          <w:tcPr>
            <w:tcW w:w="595" w:type="dxa"/>
            <w:noWrap w:val="0"/>
            <w:vAlign w:val="center"/>
          </w:tcPr>
          <w:p w14:paraId="6EFDF9F2">
            <w:pPr>
              <w:jc w:val="center"/>
              <w:rPr>
                <w:rFonts w:hint="eastAsia"/>
              </w:rPr>
            </w:pPr>
          </w:p>
        </w:tc>
        <w:tc>
          <w:tcPr>
            <w:tcW w:w="816" w:type="dxa"/>
            <w:noWrap w:val="0"/>
            <w:vAlign w:val="center"/>
          </w:tcPr>
          <w:p w14:paraId="77B55E58">
            <w:pPr>
              <w:jc w:val="center"/>
              <w:rPr>
                <w:rFonts w:hint="eastAsia"/>
              </w:rPr>
            </w:pPr>
          </w:p>
        </w:tc>
      </w:tr>
      <w:tr w14:paraId="12CF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40" w:type="dxa"/>
            <w:vMerge w:val="continue"/>
            <w:noWrap w:val="0"/>
            <w:vAlign w:val="center"/>
          </w:tcPr>
          <w:p w14:paraId="74B34494">
            <w:pPr>
              <w:jc w:val="center"/>
              <w:rPr>
                <w:rFonts w:hint="eastAsia"/>
              </w:rPr>
            </w:pPr>
          </w:p>
        </w:tc>
        <w:tc>
          <w:tcPr>
            <w:tcW w:w="5262" w:type="dxa"/>
            <w:noWrap w:val="0"/>
            <w:vAlign w:val="center"/>
          </w:tcPr>
          <w:p w14:paraId="5D130127">
            <w:pPr>
              <w:rPr>
                <w:rFonts w:hint="eastAsia"/>
              </w:rPr>
            </w:pPr>
            <w:r>
              <w:rPr>
                <w:rFonts w:hint="eastAsia"/>
              </w:rPr>
              <w:t>电梯故障次数</w:t>
            </w:r>
          </w:p>
        </w:tc>
        <w:tc>
          <w:tcPr>
            <w:tcW w:w="695" w:type="dxa"/>
            <w:noWrap w:val="0"/>
            <w:vAlign w:val="center"/>
          </w:tcPr>
          <w:p w14:paraId="2D23646C">
            <w:pPr>
              <w:jc w:val="center"/>
              <w:rPr>
                <w:rFonts w:hint="eastAsia"/>
              </w:rPr>
            </w:pPr>
            <w:r>
              <w:rPr>
                <w:rFonts w:hint="eastAsia"/>
              </w:rPr>
              <w:t>10</w:t>
            </w:r>
          </w:p>
        </w:tc>
        <w:tc>
          <w:tcPr>
            <w:tcW w:w="5208" w:type="dxa"/>
            <w:noWrap w:val="0"/>
            <w:vAlign w:val="center"/>
          </w:tcPr>
          <w:p w14:paraId="13164E2C">
            <w:pPr>
              <w:rPr>
                <w:rFonts w:hint="eastAsia"/>
              </w:rPr>
            </w:pPr>
            <w:r>
              <w:rPr>
                <w:rFonts w:hint="eastAsia"/>
              </w:rPr>
              <w:t>每出现一次故障扣5分扣完为止</w:t>
            </w:r>
          </w:p>
        </w:tc>
        <w:tc>
          <w:tcPr>
            <w:tcW w:w="595" w:type="dxa"/>
            <w:noWrap w:val="0"/>
            <w:vAlign w:val="center"/>
          </w:tcPr>
          <w:p w14:paraId="2686FCB6">
            <w:pPr>
              <w:jc w:val="center"/>
              <w:rPr>
                <w:rFonts w:hint="eastAsia"/>
              </w:rPr>
            </w:pPr>
          </w:p>
        </w:tc>
        <w:tc>
          <w:tcPr>
            <w:tcW w:w="816" w:type="dxa"/>
            <w:noWrap w:val="0"/>
            <w:vAlign w:val="center"/>
          </w:tcPr>
          <w:p w14:paraId="34172DAA">
            <w:pPr>
              <w:jc w:val="center"/>
              <w:rPr>
                <w:rFonts w:hint="eastAsia"/>
              </w:rPr>
            </w:pPr>
          </w:p>
        </w:tc>
      </w:tr>
    </w:tbl>
    <w:p w14:paraId="005993D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left"/>
        <w:rPr>
          <w:rFonts w:hint="eastAsia" w:ascii="宋体" w:hAnsi="Times New Roman" w:eastAsia="宋体" w:cstheme="minorBidi"/>
          <w:kern w:val="0"/>
          <w:sz w:val="28"/>
          <w:szCs w:val="24"/>
          <w:lang w:val="en-US" w:eastAsia="zh-CN" w:bidi="ar-SA"/>
        </w:rPr>
      </w:pPr>
      <w:r>
        <w:rPr>
          <w:rFonts w:hint="eastAsia" w:ascii="宋体" w:hAnsi="Times New Roman" w:eastAsia="宋体" w:cstheme="minorBidi"/>
          <w:kern w:val="0"/>
          <w:sz w:val="28"/>
          <w:szCs w:val="24"/>
          <w:lang w:val="en-US" w:eastAsia="zh-CN" w:bidi="ar-SA"/>
        </w:rPr>
        <w:t>服务供应商名称：                             考核日期：</w:t>
      </w:r>
    </w:p>
    <w:p w14:paraId="15E80551">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center"/>
        <w:rPr>
          <w:rStyle w:val="21"/>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pPr>
      <w:r>
        <w:rPr>
          <w:rStyle w:val="21"/>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br w:type="page"/>
      </w:r>
    </w:p>
    <w:p w14:paraId="43BF60C4">
      <w:pPr>
        <w:shd w:val="clear" w:color="auto" w:fill="auto"/>
        <w:jc w:val="left"/>
        <w:rPr>
          <w:rStyle w:val="21"/>
          <w:b/>
          <w:bCs/>
          <w:lang w:val="zh-TW" w:eastAsia="zh-TW"/>
        </w:rPr>
      </w:pPr>
      <w:r>
        <w:rPr>
          <w:rStyle w:val="21"/>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1"/>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14:paraId="33075A28">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3C8965BE">
      <w:pPr>
        <w:rPr>
          <w:rFonts w:hint="eastAsia" w:ascii="宋体" w:hAnsi="宋体"/>
          <w:b/>
          <w:sz w:val="24"/>
        </w:rPr>
      </w:pPr>
      <w:r>
        <w:rPr>
          <w:rFonts w:hint="eastAsia"/>
          <w:b/>
          <w:szCs w:val="21"/>
        </w:rPr>
        <w:t xml:space="preserve">  </w:t>
      </w:r>
      <w:r>
        <w:rPr>
          <w:rFonts w:hint="eastAsia" w:ascii="宋体" w:hAnsi="宋体"/>
          <w:b/>
          <w:sz w:val="24"/>
        </w:rPr>
        <w:t xml:space="preserve">                                                                                                            </w:t>
      </w:r>
    </w:p>
    <w:p w14:paraId="1F77A330">
      <w:pPr>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u w:val="single"/>
          <w:lang w:val="en-US" w:eastAsia="zh-CN"/>
        </w:rPr>
        <w:t>2024年-2025年电梯维护服务</w:t>
      </w:r>
      <w:r>
        <w:rPr>
          <w:rFonts w:hint="eastAsia" w:ascii="宋体" w:hAnsi="宋体" w:eastAsia="宋体" w:cs="宋体"/>
          <w:b/>
          <w:sz w:val="30"/>
          <w:szCs w:val="30"/>
          <w:lang w:eastAsia="zh-CN"/>
        </w:rPr>
        <w:t>采购项目</w:t>
      </w:r>
    </w:p>
    <w:tbl>
      <w:tblPr>
        <w:tblStyle w:val="15"/>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22C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14:paraId="09953D41">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5E50A483">
            <w:pPr>
              <w:jc w:val="center"/>
              <w:rPr>
                <w:rFonts w:hint="eastAsia" w:ascii="宋体" w:hAnsi="宋体" w:eastAsiaTheme="minorEastAsia"/>
                <w:b/>
                <w:sz w:val="24"/>
                <w:lang w:eastAsia="zh-CN"/>
              </w:rPr>
            </w:pPr>
          </w:p>
        </w:tc>
      </w:tr>
      <w:tr w14:paraId="4988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14:paraId="05917B23">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14:paraId="302D7143">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auto"/>
                <w:sz w:val="24"/>
                <w:lang w:val="en-US" w:eastAsia="zh-CN"/>
              </w:rPr>
              <w:t>日</w:t>
            </w:r>
          </w:p>
        </w:tc>
        <w:tc>
          <w:tcPr>
            <w:tcW w:w="3969" w:type="dxa"/>
            <w:gridSpan w:val="3"/>
            <w:tcBorders>
              <w:right w:val="single" w:color="auto" w:sz="4" w:space="0"/>
            </w:tcBorders>
            <w:noWrap w:val="0"/>
            <w:vAlign w:val="center"/>
          </w:tcPr>
          <w:p w14:paraId="152BC8F7">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2C584C4A">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423C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14:paraId="0575EB08">
            <w:pPr>
              <w:jc w:val="center"/>
              <w:rPr>
                <w:rFonts w:hint="eastAsia" w:ascii="宋体" w:hAnsi="宋体"/>
                <w:b/>
                <w:sz w:val="24"/>
              </w:rPr>
            </w:pPr>
            <w:r>
              <w:rPr>
                <w:rFonts w:hint="eastAsia" w:ascii="宋体" w:hAnsi="宋体"/>
                <w:b/>
                <w:sz w:val="24"/>
              </w:rPr>
              <w:t>购买单位代表</w:t>
            </w:r>
          </w:p>
          <w:p w14:paraId="3D10218D">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34B84B2">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72B285E0">
            <w:pPr>
              <w:jc w:val="center"/>
              <w:rPr>
                <w:rFonts w:hint="eastAsia" w:ascii="宋体" w:hAnsi="宋体"/>
                <w:b/>
                <w:sz w:val="24"/>
              </w:rPr>
            </w:pPr>
            <w:r>
              <w:rPr>
                <w:rFonts w:hint="eastAsia" w:ascii="宋体" w:hAnsi="宋体"/>
                <w:b/>
                <w:sz w:val="24"/>
              </w:rPr>
              <w:t>联系方式（必须如实填写）</w:t>
            </w:r>
          </w:p>
        </w:tc>
      </w:tr>
      <w:tr w14:paraId="431D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14:paraId="131AD0BE">
            <w:pPr>
              <w:jc w:val="center"/>
              <w:rPr>
                <w:rFonts w:hint="eastAsia" w:ascii="宋体" w:hAnsi="宋体"/>
                <w:b/>
                <w:sz w:val="24"/>
              </w:rPr>
            </w:pPr>
          </w:p>
        </w:tc>
        <w:tc>
          <w:tcPr>
            <w:tcW w:w="1694" w:type="dxa"/>
            <w:vMerge w:val="continue"/>
            <w:noWrap w:val="0"/>
            <w:vAlign w:val="center"/>
          </w:tcPr>
          <w:p w14:paraId="4C5B84D1">
            <w:pPr>
              <w:jc w:val="center"/>
              <w:rPr>
                <w:rFonts w:hint="eastAsia" w:ascii="宋体" w:hAnsi="宋体"/>
                <w:b/>
                <w:sz w:val="24"/>
              </w:rPr>
            </w:pPr>
          </w:p>
        </w:tc>
        <w:tc>
          <w:tcPr>
            <w:tcW w:w="1992" w:type="dxa"/>
            <w:noWrap w:val="0"/>
            <w:vAlign w:val="center"/>
          </w:tcPr>
          <w:p w14:paraId="50BDA626">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021E5CB3">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0165B91">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2BD1D9A4">
            <w:pPr>
              <w:jc w:val="center"/>
              <w:rPr>
                <w:rFonts w:hint="eastAsia" w:ascii="宋体" w:hAnsi="宋体"/>
                <w:b/>
                <w:sz w:val="24"/>
              </w:rPr>
            </w:pPr>
            <w:r>
              <w:rPr>
                <w:rFonts w:hint="eastAsia" w:ascii="宋体" w:hAnsi="宋体"/>
                <w:b/>
                <w:sz w:val="24"/>
              </w:rPr>
              <w:t>邮箱</w:t>
            </w:r>
          </w:p>
        </w:tc>
        <w:tc>
          <w:tcPr>
            <w:tcW w:w="1984" w:type="dxa"/>
            <w:noWrap w:val="0"/>
            <w:vAlign w:val="center"/>
          </w:tcPr>
          <w:p w14:paraId="3CC5CDC8">
            <w:pPr>
              <w:jc w:val="center"/>
              <w:rPr>
                <w:rFonts w:hint="eastAsia" w:ascii="宋体" w:hAnsi="宋体"/>
                <w:b/>
                <w:sz w:val="24"/>
              </w:rPr>
            </w:pPr>
            <w:r>
              <w:rPr>
                <w:rFonts w:hint="eastAsia" w:ascii="宋体" w:hAnsi="宋体"/>
                <w:b/>
                <w:sz w:val="24"/>
              </w:rPr>
              <w:t>QQ</w:t>
            </w:r>
          </w:p>
        </w:tc>
      </w:tr>
      <w:tr w14:paraId="4726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14:paraId="2C4A4497">
            <w:pPr>
              <w:jc w:val="center"/>
              <w:rPr>
                <w:rFonts w:hint="eastAsia" w:ascii="宋体" w:hAnsi="宋体" w:eastAsiaTheme="minorEastAsia"/>
                <w:b/>
                <w:sz w:val="24"/>
                <w:lang w:eastAsia="zh-CN"/>
              </w:rPr>
            </w:pPr>
          </w:p>
        </w:tc>
        <w:tc>
          <w:tcPr>
            <w:tcW w:w="1694" w:type="dxa"/>
            <w:noWrap w:val="0"/>
            <w:vAlign w:val="center"/>
          </w:tcPr>
          <w:p w14:paraId="27E72249">
            <w:pPr>
              <w:jc w:val="center"/>
              <w:rPr>
                <w:rFonts w:hint="eastAsia" w:ascii="宋体" w:hAnsi="宋体" w:eastAsiaTheme="minorEastAsia"/>
                <w:b/>
                <w:sz w:val="24"/>
                <w:lang w:eastAsia="zh-CN"/>
              </w:rPr>
            </w:pPr>
          </w:p>
        </w:tc>
        <w:tc>
          <w:tcPr>
            <w:tcW w:w="1992" w:type="dxa"/>
            <w:noWrap w:val="0"/>
            <w:vAlign w:val="center"/>
          </w:tcPr>
          <w:p w14:paraId="57436DD3">
            <w:pPr>
              <w:jc w:val="center"/>
              <w:rPr>
                <w:rFonts w:hint="eastAsia" w:ascii="宋体" w:hAnsi="宋体"/>
                <w:b/>
                <w:sz w:val="24"/>
              </w:rPr>
            </w:pPr>
          </w:p>
        </w:tc>
        <w:tc>
          <w:tcPr>
            <w:tcW w:w="2126" w:type="dxa"/>
            <w:gridSpan w:val="2"/>
            <w:noWrap w:val="0"/>
            <w:vAlign w:val="center"/>
          </w:tcPr>
          <w:p w14:paraId="6897C677">
            <w:pPr>
              <w:jc w:val="center"/>
              <w:rPr>
                <w:rFonts w:hint="default" w:ascii="宋体" w:hAnsi="宋体" w:eastAsiaTheme="minorEastAsia"/>
                <w:b/>
                <w:sz w:val="24"/>
                <w:lang w:val="en-US" w:eastAsia="zh-CN"/>
              </w:rPr>
            </w:pPr>
          </w:p>
        </w:tc>
        <w:tc>
          <w:tcPr>
            <w:tcW w:w="1984" w:type="dxa"/>
            <w:noWrap w:val="0"/>
            <w:vAlign w:val="center"/>
          </w:tcPr>
          <w:p w14:paraId="0B0292E3">
            <w:pPr>
              <w:jc w:val="center"/>
              <w:rPr>
                <w:rFonts w:hint="eastAsia" w:ascii="宋体" w:hAnsi="宋体" w:eastAsiaTheme="minorEastAsia"/>
                <w:b/>
                <w:sz w:val="24"/>
                <w:lang w:eastAsia="zh-CN"/>
              </w:rPr>
            </w:pPr>
          </w:p>
        </w:tc>
        <w:tc>
          <w:tcPr>
            <w:tcW w:w="2127" w:type="dxa"/>
            <w:gridSpan w:val="2"/>
            <w:noWrap w:val="0"/>
            <w:vAlign w:val="center"/>
          </w:tcPr>
          <w:p w14:paraId="44C82CD4">
            <w:pPr>
              <w:jc w:val="center"/>
              <w:rPr>
                <w:rFonts w:hint="eastAsia" w:ascii="宋体" w:hAnsi="宋体"/>
                <w:b/>
                <w:sz w:val="24"/>
              </w:rPr>
            </w:pPr>
          </w:p>
        </w:tc>
        <w:tc>
          <w:tcPr>
            <w:tcW w:w="1984" w:type="dxa"/>
            <w:noWrap w:val="0"/>
            <w:vAlign w:val="center"/>
          </w:tcPr>
          <w:p w14:paraId="72B07488">
            <w:pPr>
              <w:jc w:val="center"/>
              <w:rPr>
                <w:rFonts w:hint="eastAsia" w:ascii="宋体" w:hAnsi="宋体"/>
                <w:b/>
                <w:sz w:val="24"/>
              </w:rPr>
            </w:pPr>
          </w:p>
        </w:tc>
      </w:tr>
      <w:tr w14:paraId="282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14:paraId="2F6001C9">
            <w:pPr>
              <w:jc w:val="center"/>
              <w:rPr>
                <w:rFonts w:hint="eastAsia" w:ascii="宋体" w:hAnsi="宋体"/>
                <w:b/>
                <w:sz w:val="24"/>
              </w:rPr>
            </w:pPr>
            <w:r>
              <w:rPr>
                <w:rFonts w:hint="eastAsia" w:ascii="宋体" w:hAnsi="宋体"/>
                <w:b/>
                <w:sz w:val="24"/>
              </w:rPr>
              <w:t>投标单位法人</w:t>
            </w:r>
          </w:p>
          <w:p w14:paraId="758A0B39">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6E5FD407">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2ACAE354">
            <w:pPr>
              <w:jc w:val="center"/>
              <w:rPr>
                <w:rFonts w:hint="eastAsia" w:ascii="宋体" w:hAnsi="宋体"/>
                <w:b/>
                <w:sz w:val="24"/>
              </w:rPr>
            </w:pPr>
            <w:r>
              <w:rPr>
                <w:rFonts w:hint="eastAsia" w:ascii="宋体" w:hAnsi="宋体"/>
                <w:b/>
                <w:sz w:val="24"/>
              </w:rPr>
              <w:t>联系方式（必须如实填写）</w:t>
            </w:r>
          </w:p>
        </w:tc>
      </w:tr>
      <w:tr w14:paraId="0F24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2D746FB4">
            <w:pPr>
              <w:jc w:val="center"/>
              <w:rPr>
                <w:rFonts w:hint="eastAsia" w:ascii="宋体" w:hAnsi="宋体"/>
                <w:b/>
                <w:sz w:val="24"/>
              </w:rPr>
            </w:pPr>
          </w:p>
        </w:tc>
        <w:tc>
          <w:tcPr>
            <w:tcW w:w="1694" w:type="dxa"/>
            <w:vMerge w:val="continue"/>
            <w:noWrap w:val="0"/>
            <w:vAlign w:val="top"/>
          </w:tcPr>
          <w:p w14:paraId="31F097CE">
            <w:pPr>
              <w:rPr>
                <w:rFonts w:hint="eastAsia" w:ascii="宋体" w:hAnsi="宋体"/>
                <w:b/>
                <w:sz w:val="24"/>
              </w:rPr>
            </w:pPr>
          </w:p>
        </w:tc>
        <w:tc>
          <w:tcPr>
            <w:tcW w:w="1992" w:type="dxa"/>
            <w:noWrap w:val="0"/>
            <w:vAlign w:val="center"/>
          </w:tcPr>
          <w:p w14:paraId="69F22A6F">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42D767C0">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43EDDAE">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48B88BA4">
            <w:pPr>
              <w:jc w:val="center"/>
              <w:rPr>
                <w:rFonts w:hint="eastAsia" w:ascii="宋体" w:hAnsi="宋体"/>
                <w:b/>
                <w:sz w:val="24"/>
              </w:rPr>
            </w:pPr>
            <w:r>
              <w:rPr>
                <w:rFonts w:hint="eastAsia" w:ascii="宋体" w:hAnsi="宋体"/>
                <w:b/>
                <w:sz w:val="24"/>
              </w:rPr>
              <w:t>邮箱</w:t>
            </w:r>
          </w:p>
        </w:tc>
        <w:tc>
          <w:tcPr>
            <w:tcW w:w="1984" w:type="dxa"/>
            <w:noWrap w:val="0"/>
            <w:vAlign w:val="center"/>
          </w:tcPr>
          <w:p w14:paraId="353BB0C0">
            <w:pPr>
              <w:jc w:val="center"/>
              <w:rPr>
                <w:rFonts w:hint="eastAsia" w:ascii="宋体" w:hAnsi="宋体"/>
                <w:b/>
                <w:sz w:val="24"/>
              </w:rPr>
            </w:pPr>
            <w:r>
              <w:rPr>
                <w:rFonts w:hint="eastAsia" w:ascii="宋体" w:hAnsi="宋体"/>
                <w:b/>
                <w:sz w:val="24"/>
              </w:rPr>
              <w:t>QQ</w:t>
            </w:r>
          </w:p>
        </w:tc>
      </w:tr>
      <w:tr w14:paraId="03F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14:paraId="3B098814">
            <w:pPr>
              <w:jc w:val="center"/>
              <w:rPr>
                <w:rFonts w:hint="eastAsia" w:ascii="宋体" w:hAnsi="宋体" w:eastAsiaTheme="minorEastAsia"/>
                <w:b/>
                <w:sz w:val="24"/>
                <w:lang w:eastAsia="zh-CN"/>
              </w:rPr>
            </w:pPr>
          </w:p>
        </w:tc>
        <w:tc>
          <w:tcPr>
            <w:tcW w:w="1694" w:type="dxa"/>
            <w:noWrap w:val="0"/>
            <w:vAlign w:val="top"/>
          </w:tcPr>
          <w:p w14:paraId="0DB8F0B0">
            <w:pPr>
              <w:jc w:val="center"/>
              <w:rPr>
                <w:rFonts w:hint="eastAsia" w:ascii="宋体" w:hAnsi="宋体"/>
                <w:b/>
                <w:sz w:val="24"/>
              </w:rPr>
            </w:pPr>
          </w:p>
        </w:tc>
        <w:tc>
          <w:tcPr>
            <w:tcW w:w="1992" w:type="dxa"/>
            <w:noWrap w:val="0"/>
            <w:vAlign w:val="top"/>
          </w:tcPr>
          <w:p w14:paraId="32138026">
            <w:pPr>
              <w:jc w:val="center"/>
              <w:rPr>
                <w:rFonts w:hint="eastAsia" w:ascii="宋体" w:hAnsi="宋体"/>
                <w:b/>
                <w:sz w:val="24"/>
              </w:rPr>
            </w:pPr>
          </w:p>
        </w:tc>
        <w:tc>
          <w:tcPr>
            <w:tcW w:w="2126" w:type="dxa"/>
            <w:gridSpan w:val="2"/>
            <w:noWrap w:val="0"/>
            <w:vAlign w:val="top"/>
          </w:tcPr>
          <w:p w14:paraId="7050E599">
            <w:pPr>
              <w:jc w:val="center"/>
              <w:rPr>
                <w:rFonts w:hint="eastAsia" w:ascii="宋体" w:hAnsi="宋体"/>
                <w:b/>
                <w:sz w:val="24"/>
              </w:rPr>
            </w:pPr>
          </w:p>
        </w:tc>
        <w:tc>
          <w:tcPr>
            <w:tcW w:w="1984" w:type="dxa"/>
            <w:noWrap w:val="0"/>
            <w:vAlign w:val="top"/>
          </w:tcPr>
          <w:p w14:paraId="42BAD814">
            <w:pPr>
              <w:rPr>
                <w:rFonts w:hint="eastAsia" w:ascii="宋体" w:hAnsi="宋体"/>
                <w:b/>
                <w:sz w:val="24"/>
              </w:rPr>
            </w:pPr>
          </w:p>
        </w:tc>
        <w:tc>
          <w:tcPr>
            <w:tcW w:w="2127" w:type="dxa"/>
            <w:gridSpan w:val="2"/>
            <w:noWrap w:val="0"/>
            <w:vAlign w:val="top"/>
          </w:tcPr>
          <w:p w14:paraId="59D47238">
            <w:pPr>
              <w:rPr>
                <w:rFonts w:hint="eastAsia" w:ascii="宋体" w:hAnsi="宋体"/>
                <w:b/>
                <w:sz w:val="24"/>
              </w:rPr>
            </w:pPr>
          </w:p>
        </w:tc>
        <w:tc>
          <w:tcPr>
            <w:tcW w:w="1984" w:type="dxa"/>
            <w:noWrap w:val="0"/>
            <w:vAlign w:val="top"/>
          </w:tcPr>
          <w:p w14:paraId="649625E4">
            <w:pPr>
              <w:jc w:val="center"/>
              <w:rPr>
                <w:rFonts w:hint="eastAsia" w:ascii="宋体" w:hAnsi="宋体"/>
                <w:b/>
                <w:sz w:val="24"/>
              </w:rPr>
            </w:pPr>
          </w:p>
        </w:tc>
      </w:tr>
    </w:tbl>
    <w:p w14:paraId="0B5C0E7F">
      <w:pPr>
        <w:rPr>
          <w:rStyle w:val="21"/>
          <w:lang w:val="zh-TW" w:eastAsia="zh-TW"/>
        </w:rPr>
      </w:pPr>
    </w:p>
    <w:p w14:paraId="38AC8879">
      <w:pPr>
        <w:rPr>
          <w:rStyle w:val="21"/>
          <w:lang w:val="zh-TW" w:eastAsia="zh-TW"/>
        </w:rPr>
      </w:pPr>
    </w:p>
    <w:p w14:paraId="7905F557">
      <w:pPr>
        <w:rPr>
          <w:rStyle w:val="21"/>
          <w:lang w:val="zh-TW" w:eastAsia="zh-TW"/>
        </w:rPr>
      </w:pPr>
    </w:p>
    <w:p w14:paraId="0E6116B7">
      <w:pPr>
        <w:rPr>
          <w:rStyle w:val="21"/>
          <w:lang w:val="zh-TW" w:eastAsia="zh-TW"/>
        </w:rPr>
      </w:pPr>
    </w:p>
    <w:p w14:paraId="6B0C904C">
      <w:pPr>
        <w:rPr>
          <w:rStyle w:val="21"/>
          <w:lang w:val="zh-TW" w:eastAsia="zh-TW"/>
        </w:rPr>
      </w:pPr>
    </w:p>
    <w:p w14:paraId="6580899D">
      <w:pPr>
        <w:rPr>
          <w:rStyle w:val="21"/>
          <w:lang w:val="zh-TW" w:eastAsia="zh-TW"/>
        </w:rPr>
      </w:pPr>
    </w:p>
    <w:p w14:paraId="427BA7A3">
      <w:pPr>
        <w:rPr>
          <w:rStyle w:val="21"/>
          <w:lang w:val="zh-TW" w:eastAsia="zh-TW"/>
        </w:rPr>
      </w:pPr>
    </w:p>
    <w:p w14:paraId="6B758742">
      <w:pPr>
        <w:rPr>
          <w:rStyle w:val="21"/>
          <w:lang w:val="zh-TW" w:eastAsia="zh-TW"/>
        </w:rPr>
      </w:pPr>
    </w:p>
    <w:p w14:paraId="1517F3AC">
      <w:pPr>
        <w:rPr>
          <w:rFonts w:hint="eastAsia" w:ascii="Arial Black" w:hAnsi="Arial Black" w:cs="Arial Black"/>
          <w:b w:val="0"/>
          <w:bCs w:val="0"/>
          <w:sz w:val="28"/>
          <w:szCs w:val="28"/>
          <w:lang w:val="en-US" w:eastAsia="zh-CN"/>
        </w:rPr>
      </w:pPr>
    </w:p>
    <w:p w14:paraId="5C244056">
      <w:pPr>
        <w:pStyle w:val="19"/>
        <w:rPr>
          <w:rFonts w:hint="default"/>
          <w:lang w:val="en-US" w:eastAsia="zh-CN"/>
        </w:rPr>
      </w:pPr>
    </w:p>
    <w:p w14:paraId="6D145821">
      <w:pPr>
        <w:rPr>
          <w:rFonts w:hint="default"/>
          <w:lang w:val="en-US" w:eastAsia="zh-CN"/>
        </w:rPr>
      </w:pPr>
    </w:p>
    <w:p w14:paraId="6689A7E1">
      <w:pPr>
        <w:pStyle w:val="19"/>
        <w:rPr>
          <w:rFonts w:hint="default"/>
          <w:lang w:val="en-US" w:eastAsia="zh-CN"/>
        </w:rPr>
      </w:pPr>
    </w:p>
    <w:sectPr>
      <w:pgSz w:w="16838" w:h="11906" w:orient="landscape"/>
      <w:pgMar w:top="567" w:right="56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DA6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479B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479B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B9D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02D6D66"/>
    <w:rsid w:val="01515DD8"/>
    <w:rsid w:val="03605FF6"/>
    <w:rsid w:val="03A37B85"/>
    <w:rsid w:val="03BE6BEC"/>
    <w:rsid w:val="0523009C"/>
    <w:rsid w:val="09021B60"/>
    <w:rsid w:val="0A6C337E"/>
    <w:rsid w:val="0AB539B9"/>
    <w:rsid w:val="1A762825"/>
    <w:rsid w:val="1DF373A9"/>
    <w:rsid w:val="241D3589"/>
    <w:rsid w:val="27B86B53"/>
    <w:rsid w:val="283737A1"/>
    <w:rsid w:val="32C55C9F"/>
    <w:rsid w:val="36C82FE3"/>
    <w:rsid w:val="373E6A63"/>
    <w:rsid w:val="377702A8"/>
    <w:rsid w:val="3CEB717E"/>
    <w:rsid w:val="408E777E"/>
    <w:rsid w:val="40AF277F"/>
    <w:rsid w:val="450E5DA6"/>
    <w:rsid w:val="45C17B66"/>
    <w:rsid w:val="476A464E"/>
    <w:rsid w:val="4C877744"/>
    <w:rsid w:val="4D676D45"/>
    <w:rsid w:val="4E8240C1"/>
    <w:rsid w:val="4F8050FF"/>
    <w:rsid w:val="525836FF"/>
    <w:rsid w:val="55F30679"/>
    <w:rsid w:val="59C97E58"/>
    <w:rsid w:val="5D552C76"/>
    <w:rsid w:val="5E65560D"/>
    <w:rsid w:val="60C01A97"/>
    <w:rsid w:val="63191968"/>
    <w:rsid w:val="64E15643"/>
    <w:rsid w:val="67656624"/>
    <w:rsid w:val="6A7B4600"/>
    <w:rsid w:val="6AC36043"/>
    <w:rsid w:val="6B1A4FEC"/>
    <w:rsid w:val="6B4260A5"/>
    <w:rsid w:val="72644904"/>
    <w:rsid w:val="72EA7E8E"/>
    <w:rsid w:val="73213BEE"/>
    <w:rsid w:val="73517F54"/>
    <w:rsid w:val="73CC2FC1"/>
    <w:rsid w:val="7CD43114"/>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2"/>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7">
    <w:name w:val="Normal Indent"/>
    <w:qFormat/>
    <w:uiPriority w:val="0"/>
    <w:pPr>
      <w:widowControl w:val="0"/>
      <w:ind w:firstLine="420" w:firstLineChars="200"/>
      <w:jc w:val="both"/>
    </w:pPr>
    <w:rPr>
      <w:rFonts w:ascii="宋体" w:hAnsi="Times New Roman" w:eastAsia="宋体" w:cs="Times New Roman"/>
      <w:sz w:val="34"/>
      <w:lang w:val="en-US" w:eastAsia="zh-CN" w:bidi="ar-SA"/>
    </w:rPr>
  </w:style>
  <w:style w:type="paragraph" w:styleId="8">
    <w:name w:val="Body Text"/>
    <w:basedOn w:val="1"/>
    <w:next w:val="1"/>
    <w:autoRedefine/>
    <w:qFormat/>
    <w:uiPriority w:val="0"/>
    <w:pPr>
      <w:spacing w:after="120"/>
    </w:pPr>
  </w:style>
  <w:style w:type="paragraph" w:styleId="9">
    <w:name w:val="Body Text Indent"/>
    <w:basedOn w:val="1"/>
    <w:next w:val="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0">
    <w:name w:val="Body Text Indent 2"/>
    <w:basedOn w:val="1"/>
    <w:qFormat/>
    <w:uiPriority w:val="0"/>
    <w:pPr>
      <w:ind w:firstLine="630"/>
    </w:pPr>
    <w:rPr>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hAnsi="宋体"/>
      <w:sz w:val="18"/>
      <w:szCs w:val="18"/>
    </w:rPr>
  </w:style>
  <w:style w:type="paragraph" w:styleId="14">
    <w:name w:val="Body Text First Indent 2"/>
    <w:basedOn w:val="9"/>
    <w:next w:val="1"/>
    <w:qFormat/>
    <w:uiPriority w:val="0"/>
    <w:pPr>
      <w:snapToGrid w:val="0"/>
      <w:spacing w:line="240" w:lineRule="auto"/>
    </w:pPr>
    <w:rPr>
      <w:rFonts w:ascii="宋体" w:hAnsi="宋体"/>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paragraph" w:customStyle="1" w:styleId="19">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0">
    <w:name w:val="Hyperlink.0"/>
    <w:basedOn w:val="21"/>
    <w:autoRedefine/>
    <w:qFormat/>
    <w:uiPriority w:val="0"/>
    <w:rPr>
      <w:rFonts w:ascii="仿宋" w:hAnsi="仿宋" w:eastAsia="仿宋" w:cs="仿宋"/>
      <w:sz w:val="28"/>
      <w:szCs w:val="28"/>
      <w:lang w:val="zh-TW" w:eastAsia="zh-TW"/>
    </w:rPr>
  </w:style>
  <w:style w:type="character" w:customStyle="1" w:styleId="21">
    <w:name w:val="无"/>
    <w:autoRedefine/>
    <w:qFormat/>
    <w:uiPriority w:val="0"/>
  </w:style>
  <w:style w:type="character" w:customStyle="1" w:styleId="22">
    <w:name w:val="标题 5 Char"/>
    <w:link w:val="6"/>
    <w:autoRedefine/>
    <w:qFormat/>
    <w:uiPriority w:val="0"/>
    <w:rPr>
      <w:b/>
      <w:sz w:val="28"/>
    </w:rPr>
  </w:style>
  <w:style w:type="paragraph" w:customStyle="1" w:styleId="23">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4">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9319</Words>
  <Characters>9999</Characters>
  <Lines>0</Lines>
  <Paragraphs>0</Paragraphs>
  <TotalTime>1</TotalTime>
  <ScaleCrop>false</ScaleCrop>
  <LinksUpToDate>false</LinksUpToDate>
  <CharactersWithSpaces>10338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2024-07-23T09:27:00Z</cp:lastPrinted>
  <dcterms:modified xsi:type="dcterms:W3CDTF">2024-07-23T09:38:05Z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10F8284A45854D61BCBA37B46D88CEDD_13</vt:lpwstr>
  </property>
</Properties>
</file>